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16DF" w14:textId="15BBB157" w:rsidR="00B93A31" w:rsidRDefault="00B93A31" w:rsidP="00235A17">
      <w:pPr>
        <w:jc w:val="center"/>
        <w:rPr>
          <w:b/>
          <w:i/>
          <w:sz w:val="28"/>
          <w:szCs w:val="28"/>
        </w:rPr>
      </w:pPr>
      <w:r w:rsidRPr="006C226D">
        <w:rPr>
          <w:b/>
          <w:sz w:val="28"/>
          <w:szCs w:val="28"/>
        </w:rPr>
        <w:t xml:space="preserve">Topics for </w:t>
      </w:r>
      <w:r w:rsidR="00C66248">
        <w:rPr>
          <w:b/>
          <w:sz w:val="28"/>
          <w:szCs w:val="28"/>
        </w:rPr>
        <w:t xml:space="preserve">the </w:t>
      </w:r>
      <w:r w:rsidRPr="006C226D">
        <w:rPr>
          <w:b/>
          <w:i/>
          <w:sz w:val="28"/>
          <w:szCs w:val="28"/>
        </w:rPr>
        <w:t>20</w:t>
      </w:r>
      <w:r w:rsidR="00414401">
        <w:rPr>
          <w:b/>
          <w:i/>
          <w:sz w:val="28"/>
          <w:szCs w:val="28"/>
        </w:rPr>
        <w:t>2</w:t>
      </w:r>
      <w:r w:rsidR="00325665">
        <w:rPr>
          <w:b/>
          <w:i/>
          <w:sz w:val="28"/>
          <w:szCs w:val="28"/>
        </w:rPr>
        <w:t>3</w:t>
      </w:r>
      <w:r w:rsidRPr="006C226D">
        <w:rPr>
          <w:b/>
          <w:i/>
          <w:sz w:val="28"/>
          <w:szCs w:val="28"/>
        </w:rPr>
        <w:t xml:space="preserve"> National Income Tax Workbook</w:t>
      </w:r>
    </w:p>
    <w:p w14:paraId="2C1E4F62" w14:textId="77777777" w:rsidR="003D1830" w:rsidRDefault="003D1830" w:rsidP="003D1830">
      <w:pPr>
        <w:rPr>
          <w:b/>
        </w:rPr>
      </w:pPr>
    </w:p>
    <w:p w14:paraId="21D839E5" w14:textId="77777777" w:rsidR="003D1830" w:rsidRPr="003B7654" w:rsidRDefault="003D1830" w:rsidP="00AF3817">
      <w:pPr>
        <w:spacing w:line="276" w:lineRule="auto"/>
        <w:rPr>
          <w:sz w:val="24"/>
          <w:szCs w:val="24"/>
        </w:rPr>
      </w:pPr>
      <w:r w:rsidRPr="003B7654">
        <w:rPr>
          <w:b/>
          <w:sz w:val="24"/>
          <w:szCs w:val="24"/>
        </w:rPr>
        <w:t>Note to tax school directors</w:t>
      </w:r>
      <w:r w:rsidRPr="003B7654">
        <w:rPr>
          <w:sz w:val="24"/>
          <w:szCs w:val="24"/>
        </w:rPr>
        <w:t>: This list of chapters is intended for your use in preparing promotional material for your tax courses. The order of the chapters in the workbook will not follow this order. Some topics may be moved from the listed chapter to another chapter based on publishing needs. Every effort will be made to include all listed topics in the workbook. Additional topics and chapters will be added as tax law develops and space permits.</w:t>
      </w:r>
    </w:p>
    <w:p w14:paraId="7F31D11E" w14:textId="77777777" w:rsidR="003D1830" w:rsidRPr="003B7654" w:rsidRDefault="003D1830" w:rsidP="00AF3817">
      <w:pPr>
        <w:tabs>
          <w:tab w:val="left" w:pos="360"/>
        </w:tabs>
        <w:spacing w:line="276" w:lineRule="auto"/>
        <w:rPr>
          <w:b/>
          <w:sz w:val="24"/>
          <w:szCs w:val="24"/>
        </w:rPr>
      </w:pPr>
    </w:p>
    <w:p w14:paraId="35305E51" w14:textId="77777777" w:rsidR="003D1830" w:rsidRPr="003B7654" w:rsidRDefault="006F2165" w:rsidP="00AF3817">
      <w:pPr>
        <w:spacing w:line="276" w:lineRule="auto"/>
        <w:rPr>
          <w:b/>
          <w:sz w:val="24"/>
          <w:szCs w:val="24"/>
        </w:rPr>
      </w:pPr>
      <w:r w:rsidRPr="003B7654">
        <w:rPr>
          <w:b/>
          <w:sz w:val="24"/>
          <w:szCs w:val="24"/>
        </w:rPr>
        <w:t>CHAPTERS</w:t>
      </w:r>
    </w:p>
    <w:p w14:paraId="1B9F0AFE" w14:textId="77777777" w:rsidR="009C75A9" w:rsidRPr="003B7654" w:rsidRDefault="009C75A9" w:rsidP="00AF3817">
      <w:pPr>
        <w:spacing w:line="276" w:lineRule="auto"/>
        <w:rPr>
          <w:sz w:val="24"/>
          <w:szCs w:val="24"/>
        </w:rPr>
      </w:pPr>
    </w:p>
    <w:p w14:paraId="6CD85079" w14:textId="77777777" w:rsidR="00414401" w:rsidRPr="003B7654" w:rsidRDefault="00414401" w:rsidP="00AF3817">
      <w:pPr>
        <w:spacing w:line="276" w:lineRule="auto"/>
        <w:rPr>
          <w:sz w:val="24"/>
          <w:szCs w:val="24"/>
        </w:rPr>
      </w:pPr>
      <w:r w:rsidRPr="003B7654">
        <w:rPr>
          <w:b/>
          <w:sz w:val="24"/>
          <w:szCs w:val="24"/>
        </w:rPr>
        <w:t>Ethics</w:t>
      </w:r>
      <w:r w:rsidRPr="00AF3817">
        <w:rPr>
          <w:bCs/>
          <w:sz w:val="24"/>
          <w:szCs w:val="24"/>
        </w:rPr>
        <w:t xml:space="preserve">. </w:t>
      </w:r>
      <w:r w:rsidRPr="003B7654">
        <w:rPr>
          <w:sz w:val="24"/>
          <w:szCs w:val="24"/>
        </w:rPr>
        <w:t>This chapter discusses important issues that help tax practitioners comply with their ethical obligations. Topics include the following:</w:t>
      </w:r>
    </w:p>
    <w:p w14:paraId="21973A7C" w14:textId="65FF55D5" w:rsidR="00414401" w:rsidRPr="00325665" w:rsidRDefault="0083464E" w:rsidP="00AF3817">
      <w:pPr>
        <w:pStyle w:val="BL"/>
        <w:spacing w:line="276" w:lineRule="auto"/>
        <w:rPr>
          <w:sz w:val="24"/>
          <w:szCs w:val="24"/>
        </w:rPr>
      </w:pPr>
      <w:r w:rsidRPr="00325665">
        <w:rPr>
          <w:sz w:val="24"/>
          <w:szCs w:val="24"/>
        </w:rPr>
        <w:t xml:space="preserve">Ethical </w:t>
      </w:r>
      <w:r w:rsidR="00707C7D" w:rsidRPr="00325665">
        <w:rPr>
          <w:sz w:val="24"/>
          <w:szCs w:val="24"/>
        </w:rPr>
        <w:t xml:space="preserve">considerations when </w:t>
      </w:r>
      <w:r w:rsidR="00325665" w:rsidRPr="00325665">
        <w:rPr>
          <w:sz w:val="24"/>
          <w:szCs w:val="24"/>
        </w:rPr>
        <w:t>engaging a client</w:t>
      </w:r>
    </w:p>
    <w:p w14:paraId="69DA4249" w14:textId="6708743B" w:rsidR="00325665" w:rsidRPr="00325665" w:rsidRDefault="00325665" w:rsidP="00AF3817">
      <w:pPr>
        <w:pStyle w:val="BL"/>
        <w:spacing w:line="276" w:lineRule="auto"/>
        <w:rPr>
          <w:sz w:val="24"/>
          <w:szCs w:val="24"/>
        </w:rPr>
      </w:pPr>
      <w:r>
        <w:rPr>
          <w:sz w:val="24"/>
          <w:szCs w:val="24"/>
        </w:rPr>
        <w:t xml:space="preserve">Ethical challenges </w:t>
      </w:r>
      <w:r w:rsidR="00D9608D">
        <w:rPr>
          <w:sz w:val="24"/>
          <w:szCs w:val="24"/>
        </w:rPr>
        <w:t>in j</w:t>
      </w:r>
      <w:r w:rsidRPr="00325665">
        <w:rPr>
          <w:sz w:val="24"/>
          <w:szCs w:val="24"/>
        </w:rPr>
        <w:t>oint representation</w:t>
      </w:r>
    </w:p>
    <w:p w14:paraId="7A8D4FAA" w14:textId="4A5FF2F2" w:rsidR="00325665" w:rsidRPr="00325665" w:rsidRDefault="00325665" w:rsidP="00AF3817">
      <w:pPr>
        <w:pStyle w:val="BL"/>
        <w:spacing w:line="276" w:lineRule="auto"/>
        <w:rPr>
          <w:sz w:val="24"/>
          <w:szCs w:val="24"/>
        </w:rPr>
      </w:pPr>
      <w:r w:rsidRPr="00325665">
        <w:rPr>
          <w:sz w:val="24"/>
          <w:szCs w:val="24"/>
        </w:rPr>
        <w:t>Terminating a client relationship</w:t>
      </w:r>
    </w:p>
    <w:p w14:paraId="1A36289E" w14:textId="34CC8C26" w:rsidR="00325665" w:rsidRPr="00325665" w:rsidRDefault="00C85F64" w:rsidP="00AF3817">
      <w:pPr>
        <w:pStyle w:val="BL"/>
        <w:spacing w:line="276" w:lineRule="auto"/>
        <w:rPr>
          <w:sz w:val="24"/>
          <w:szCs w:val="24"/>
        </w:rPr>
      </w:pPr>
      <w:r>
        <w:rPr>
          <w:sz w:val="24"/>
          <w:szCs w:val="24"/>
        </w:rPr>
        <w:t>Ethical duties in collecting f</w:t>
      </w:r>
      <w:r w:rsidR="00325665" w:rsidRPr="00325665">
        <w:rPr>
          <w:sz w:val="24"/>
          <w:szCs w:val="24"/>
        </w:rPr>
        <w:t>ee</w:t>
      </w:r>
      <w:r>
        <w:rPr>
          <w:sz w:val="24"/>
          <w:szCs w:val="24"/>
        </w:rPr>
        <w:t>s</w:t>
      </w:r>
      <w:r w:rsidR="00325665" w:rsidRPr="00325665">
        <w:rPr>
          <w:sz w:val="24"/>
          <w:szCs w:val="24"/>
        </w:rPr>
        <w:t xml:space="preserve"> </w:t>
      </w:r>
      <w:r>
        <w:rPr>
          <w:sz w:val="24"/>
          <w:szCs w:val="24"/>
        </w:rPr>
        <w:t>and when</w:t>
      </w:r>
      <w:r w:rsidR="00D9608D">
        <w:rPr>
          <w:sz w:val="24"/>
          <w:szCs w:val="24"/>
        </w:rPr>
        <w:t xml:space="preserve"> records</w:t>
      </w:r>
      <w:r>
        <w:rPr>
          <w:sz w:val="24"/>
          <w:szCs w:val="24"/>
        </w:rPr>
        <w:t xml:space="preserve"> can be withheld for nonpayment</w:t>
      </w:r>
    </w:p>
    <w:p w14:paraId="432A642A" w14:textId="21CF1E3D" w:rsidR="00414401" w:rsidRPr="00325665" w:rsidRDefault="00414401" w:rsidP="00AF3817">
      <w:pPr>
        <w:pStyle w:val="BL"/>
        <w:spacing w:line="276" w:lineRule="auto"/>
        <w:rPr>
          <w:sz w:val="24"/>
          <w:szCs w:val="24"/>
        </w:rPr>
      </w:pPr>
      <w:r w:rsidRPr="00325665">
        <w:rPr>
          <w:sz w:val="24"/>
          <w:szCs w:val="24"/>
        </w:rPr>
        <w:t>Ten case studies that illustrate real-life ethical scenarios</w:t>
      </w:r>
    </w:p>
    <w:p w14:paraId="381BE627" w14:textId="77777777" w:rsidR="00414401" w:rsidRPr="003B7654" w:rsidRDefault="00414401" w:rsidP="00AF3817">
      <w:pPr>
        <w:pStyle w:val="Body"/>
        <w:spacing w:line="276" w:lineRule="auto"/>
        <w:ind w:left="360" w:firstLine="0"/>
        <w:rPr>
          <w:sz w:val="24"/>
          <w:szCs w:val="24"/>
        </w:rPr>
      </w:pPr>
    </w:p>
    <w:p w14:paraId="026097F0" w14:textId="712AFC93" w:rsidR="00707C7D" w:rsidRPr="00CD31A8" w:rsidRDefault="0083464E" w:rsidP="00AF3817">
      <w:pPr>
        <w:pStyle w:val="Bodynoindent"/>
        <w:spacing w:line="276" w:lineRule="auto"/>
        <w:rPr>
          <w:sz w:val="24"/>
          <w:szCs w:val="24"/>
        </w:rPr>
      </w:pPr>
      <w:r w:rsidRPr="00CD31A8">
        <w:rPr>
          <w:b/>
          <w:sz w:val="24"/>
          <w:szCs w:val="24"/>
        </w:rPr>
        <w:t>Trusts and Estates</w:t>
      </w:r>
      <w:r w:rsidRPr="00AF3817">
        <w:rPr>
          <w:bCs/>
          <w:sz w:val="24"/>
          <w:szCs w:val="24"/>
        </w:rPr>
        <w:t>.</w:t>
      </w:r>
      <w:r w:rsidRPr="00CD31A8">
        <w:rPr>
          <w:b/>
          <w:sz w:val="24"/>
          <w:szCs w:val="24"/>
        </w:rPr>
        <w:t xml:space="preserve"> </w:t>
      </w:r>
      <w:r w:rsidRPr="00CD31A8">
        <w:rPr>
          <w:bCs/>
          <w:sz w:val="24"/>
          <w:szCs w:val="24"/>
        </w:rPr>
        <w:t xml:space="preserve">This chapter discusses </w:t>
      </w:r>
      <w:r w:rsidR="00D9608D">
        <w:rPr>
          <w:sz w:val="24"/>
          <w:szCs w:val="24"/>
        </w:rPr>
        <w:t>planning strategies using the gift tax annual exclusion</w:t>
      </w:r>
      <w:r w:rsidR="00707C7D" w:rsidRPr="00CD31A8">
        <w:rPr>
          <w:sz w:val="24"/>
          <w:szCs w:val="24"/>
        </w:rPr>
        <w:t xml:space="preserve">. It explains </w:t>
      </w:r>
      <w:r w:rsidR="00D9608D">
        <w:rPr>
          <w:sz w:val="24"/>
          <w:szCs w:val="24"/>
        </w:rPr>
        <w:t>how to make discounted gifts of interests in a family limited partnership</w:t>
      </w:r>
      <w:r w:rsidR="00707C7D" w:rsidRPr="00CD31A8">
        <w:rPr>
          <w:sz w:val="24"/>
          <w:szCs w:val="24"/>
        </w:rPr>
        <w:t>, and</w:t>
      </w:r>
      <w:r w:rsidR="00D9608D">
        <w:rPr>
          <w:sz w:val="24"/>
          <w:szCs w:val="24"/>
        </w:rPr>
        <w:t xml:space="preserve"> how to avoid common IRS challenges to those discounted gifts</w:t>
      </w:r>
      <w:r w:rsidR="00707C7D" w:rsidRPr="00CD31A8">
        <w:rPr>
          <w:sz w:val="24"/>
          <w:szCs w:val="24"/>
        </w:rPr>
        <w:t xml:space="preserve">. This chapter </w:t>
      </w:r>
      <w:r w:rsidR="00CD31A8" w:rsidRPr="00CD31A8">
        <w:rPr>
          <w:sz w:val="24"/>
          <w:szCs w:val="24"/>
        </w:rPr>
        <w:t xml:space="preserve">reviews </w:t>
      </w:r>
      <w:r w:rsidR="00D9608D">
        <w:rPr>
          <w:sz w:val="24"/>
          <w:szCs w:val="24"/>
        </w:rPr>
        <w:t>basic Medicaid planning and</w:t>
      </w:r>
      <w:r w:rsidR="00CD31A8" w:rsidRPr="00CD31A8">
        <w:rPr>
          <w:sz w:val="24"/>
          <w:szCs w:val="24"/>
        </w:rPr>
        <w:t xml:space="preserve"> </w:t>
      </w:r>
      <w:r w:rsidR="00D9608D">
        <w:rPr>
          <w:sz w:val="24"/>
          <w:szCs w:val="24"/>
        </w:rPr>
        <w:t>how decanting a trust can preserve Medicaid eligibility or obtain other more favorable benefits</w:t>
      </w:r>
      <w:r w:rsidR="00101813">
        <w:rPr>
          <w:sz w:val="24"/>
          <w:szCs w:val="24"/>
        </w:rPr>
        <w:t>.</w:t>
      </w:r>
      <w:r w:rsidR="00CD31A8" w:rsidRPr="00CD31A8">
        <w:rPr>
          <w:sz w:val="24"/>
          <w:szCs w:val="24"/>
        </w:rPr>
        <w:t xml:space="preserve"> </w:t>
      </w:r>
      <w:r w:rsidR="00D9608D">
        <w:rPr>
          <w:sz w:val="24"/>
          <w:szCs w:val="24"/>
        </w:rPr>
        <w:t>This chapter provides information on how a fiduciary of an estate can eliminate personal liability for the decedent’s unpaid taxes.</w:t>
      </w:r>
    </w:p>
    <w:p w14:paraId="66ABC9EA" w14:textId="77777777" w:rsidR="00CD31A8" w:rsidRDefault="00CD31A8" w:rsidP="00AF3817">
      <w:pPr>
        <w:spacing w:line="276" w:lineRule="auto"/>
        <w:rPr>
          <w:b/>
          <w:sz w:val="24"/>
          <w:szCs w:val="24"/>
        </w:rPr>
      </w:pPr>
    </w:p>
    <w:p w14:paraId="45574B9C" w14:textId="70046581" w:rsidR="00D9608D" w:rsidRDefault="00D9608D" w:rsidP="00AF3817">
      <w:pPr>
        <w:pStyle w:val="Default"/>
        <w:spacing w:line="276" w:lineRule="auto"/>
        <w:rPr>
          <w:color w:val="211D1E"/>
          <w:sz w:val="20"/>
          <w:szCs w:val="20"/>
        </w:rPr>
      </w:pPr>
      <w:r>
        <w:rPr>
          <w:rFonts w:ascii="Times New Roman" w:hAnsi="Times New Roman" w:cs="Times New Roman"/>
          <w:b/>
        </w:rPr>
        <w:t>Penalties and Defenses</w:t>
      </w:r>
      <w:r w:rsidRPr="00AF3817">
        <w:rPr>
          <w:rFonts w:ascii="Times New Roman" w:hAnsi="Times New Roman" w:cs="Times New Roman"/>
          <w:bCs/>
        </w:rPr>
        <w:t>.</w:t>
      </w:r>
      <w:r w:rsidRPr="002B7685">
        <w:rPr>
          <w:rFonts w:ascii="Times New Roman" w:hAnsi="Times New Roman" w:cs="Times New Roman"/>
          <w:b/>
        </w:rPr>
        <w:t xml:space="preserve"> </w:t>
      </w:r>
      <w:r w:rsidRPr="002B7685">
        <w:rPr>
          <w:rFonts w:ascii="Times New Roman" w:hAnsi="Times New Roman" w:cs="Times New Roman"/>
        </w:rPr>
        <w:t xml:space="preserve">This chapter discusses </w:t>
      </w:r>
      <w:r>
        <w:rPr>
          <w:rFonts w:ascii="Times New Roman" w:hAnsi="Times New Roman" w:cs="Times New Roman"/>
        </w:rPr>
        <w:t>individual, business, and preparer penalties</w:t>
      </w:r>
      <w:r w:rsidRPr="002B7685">
        <w:rPr>
          <w:rFonts w:ascii="Times New Roman" w:hAnsi="Times New Roman" w:cs="Times New Roman"/>
          <w:color w:val="211D1E"/>
        </w:rPr>
        <w:t xml:space="preserve">. It also explains </w:t>
      </w:r>
      <w:r>
        <w:rPr>
          <w:rFonts w:ascii="Times New Roman" w:hAnsi="Times New Roman" w:cs="Times New Roman"/>
          <w:color w:val="211D1E"/>
        </w:rPr>
        <w:t>what defenses can be asserted against those penalties, and available administrative and statutory penalty relief</w:t>
      </w:r>
      <w:r>
        <w:rPr>
          <w:color w:val="211D1E"/>
          <w:sz w:val="20"/>
          <w:szCs w:val="20"/>
        </w:rPr>
        <w:t>.</w:t>
      </w:r>
    </w:p>
    <w:p w14:paraId="73B6FAE6" w14:textId="4DC43F44" w:rsidR="00D9608D" w:rsidRDefault="00D9608D" w:rsidP="00AF3817">
      <w:pPr>
        <w:pStyle w:val="Default"/>
        <w:spacing w:line="276" w:lineRule="auto"/>
        <w:rPr>
          <w:color w:val="211D1E"/>
          <w:sz w:val="20"/>
          <w:szCs w:val="20"/>
        </w:rPr>
      </w:pPr>
    </w:p>
    <w:p w14:paraId="7CBBFB53" w14:textId="328A249A" w:rsidR="00D9608D" w:rsidRPr="00C85F64" w:rsidRDefault="00D9608D" w:rsidP="00AF3817">
      <w:pPr>
        <w:pStyle w:val="Bodynoindent"/>
        <w:spacing w:line="276" w:lineRule="auto"/>
        <w:rPr>
          <w:rFonts w:cs="Times New Roman"/>
          <w:color w:val="211D1E"/>
          <w:sz w:val="24"/>
          <w:szCs w:val="24"/>
        </w:rPr>
      </w:pPr>
      <w:r w:rsidRPr="00C85F64">
        <w:rPr>
          <w:rFonts w:cs="Times New Roman"/>
          <w:b/>
          <w:bCs/>
          <w:color w:val="211D1E"/>
          <w:sz w:val="24"/>
          <w:szCs w:val="24"/>
        </w:rPr>
        <w:t xml:space="preserve">Form 4797, </w:t>
      </w:r>
      <w:r w:rsidR="00C85F64" w:rsidRPr="00C85F64">
        <w:rPr>
          <w:rFonts w:cs="Times New Roman"/>
          <w:b/>
          <w:bCs/>
          <w:color w:val="211D1E"/>
          <w:sz w:val="24"/>
          <w:szCs w:val="24"/>
        </w:rPr>
        <w:t>Sales of Business Property</w:t>
      </w:r>
      <w:r w:rsidR="00C85F64" w:rsidRPr="00C85F64">
        <w:rPr>
          <w:rFonts w:cs="Times New Roman"/>
          <w:color w:val="211D1E"/>
          <w:sz w:val="24"/>
          <w:szCs w:val="24"/>
        </w:rPr>
        <w:t xml:space="preserve">. </w:t>
      </w:r>
      <w:r w:rsidR="00C85F64" w:rsidRPr="00C85F64">
        <w:rPr>
          <w:sz w:val="24"/>
          <w:szCs w:val="24"/>
        </w:rPr>
        <w:t xml:space="preserve">Form 4797, Sales of Business Property reports gains and losses from sales, but it is also the collection point for recognized gains calculated on Form 6252, Installment Sale Income; Form 8824, Like-Kind Exchanges; and casualty and theft gains and losses calculated in Section B—Business and Income-Producing Property of Form 4684, Casualties and Thefts. This chapter reviews the tax reporting for the sale of business assets. It explains how to calculate depreciation recapture and installment sale gain, and how to report these amounts on Form 4797, Sales of Business Property. </w:t>
      </w:r>
      <w:r w:rsidR="00FD47F1">
        <w:rPr>
          <w:sz w:val="24"/>
          <w:szCs w:val="24"/>
        </w:rPr>
        <w:t>T</w:t>
      </w:r>
      <w:r w:rsidR="00C85F64" w:rsidRPr="00C85F64">
        <w:rPr>
          <w:sz w:val="24"/>
          <w:szCs w:val="24"/>
        </w:rPr>
        <w:t xml:space="preserve">his chapter </w:t>
      </w:r>
      <w:r w:rsidR="00FD47F1">
        <w:rPr>
          <w:sz w:val="24"/>
          <w:szCs w:val="24"/>
        </w:rPr>
        <w:t>also explains</w:t>
      </w:r>
      <w:r w:rsidR="00C85F64" w:rsidRPr="00C85F64">
        <w:rPr>
          <w:sz w:val="24"/>
          <w:szCs w:val="24"/>
        </w:rPr>
        <w:t xml:space="preserve"> the calculation and reporting of recapture under I.R.C. §§</w:t>
      </w:r>
      <w:r w:rsidR="00C85F64" w:rsidRPr="00C85F64">
        <w:rPr>
          <w:rFonts w:cs="Times New Roman"/>
          <w:sz w:val="24"/>
          <w:szCs w:val="24"/>
        </w:rPr>
        <w:t> </w:t>
      </w:r>
      <w:r w:rsidR="00C85F64" w:rsidRPr="00C85F64">
        <w:rPr>
          <w:sz w:val="24"/>
          <w:szCs w:val="24"/>
        </w:rPr>
        <w:t>179 and 280F.</w:t>
      </w:r>
    </w:p>
    <w:p w14:paraId="550FC1FA" w14:textId="77777777" w:rsidR="00D9608D" w:rsidRDefault="00D9608D" w:rsidP="00AF3817">
      <w:pPr>
        <w:pStyle w:val="Default"/>
        <w:spacing w:line="276" w:lineRule="auto"/>
        <w:rPr>
          <w:b/>
        </w:rPr>
      </w:pPr>
    </w:p>
    <w:p w14:paraId="79F144F6" w14:textId="45A48884" w:rsidR="00C85F64" w:rsidRPr="00C85F64" w:rsidRDefault="00C85F64" w:rsidP="00AF3817">
      <w:pPr>
        <w:keepNext/>
        <w:keepLines/>
        <w:spacing w:line="276" w:lineRule="auto"/>
        <w:rPr>
          <w:bCs/>
          <w:sz w:val="24"/>
          <w:szCs w:val="24"/>
        </w:rPr>
      </w:pPr>
      <w:r>
        <w:rPr>
          <w:b/>
          <w:sz w:val="24"/>
          <w:szCs w:val="24"/>
        </w:rPr>
        <w:lastRenderedPageBreak/>
        <w:t>Retirement Tax Issues</w:t>
      </w:r>
      <w:r w:rsidRPr="00C85F64">
        <w:rPr>
          <w:bCs/>
          <w:sz w:val="24"/>
          <w:szCs w:val="24"/>
        </w:rPr>
        <w:t>.</w:t>
      </w:r>
      <w:r>
        <w:rPr>
          <w:b/>
          <w:sz w:val="24"/>
          <w:szCs w:val="24"/>
        </w:rPr>
        <w:t xml:space="preserve"> </w:t>
      </w:r>
      <w:r w:rsidR="00AF3817">
        <w:rPr>
          <w:bCs/>
          <w:sz w:val="24"/>
          <w:szCs w:val="24"/>
        </w:rPr>
        <w:t>T</w:t>
      </w:r>
      <w:r w:rsidRPr="00C85F64">
        <w:rPr>
          <w:bCs/>
          <w:sz w:val="24"/>
          <w:szCs w:val="24"/>
        </w:rPr>
        <w:t>he Setting Every Community Up for Retirement Enhancement 2.0 Act of 2022 (SECURE 2.0), Pub. L. No. 117-328, changed the required beginning date for required minimum distributions from a qualified plan and added several exceptions to the additional tax on early distributions. This chapter discusses the existing rules for required minimum distributions from an IRA or defined contribution plan and the changes enacted by SECURE 2.0. This chapter reviews exist</w:t>
      </w:r>
      <w:r w:rsidRPr="00C85F64">
        <w:rPr>
          <w:bCs/>
          <w:sz w:val="24"/>
          <w:szCs w:val="24"/>
        </w:rPr>
        <w:softHyphen/>
        <w:t xml:space="preserve">ing and new rules for early plan distributions and the requirements for hardship distributions. It explains </w:t>
      </w:r>
      <w:r w:rsidR="00AF3817">
        <w:rPr>
          <w:bCs/>
          <w:sz w:val="24"/>
          <w:szCs w:val="24"/>
        </w:rPr>
        <w:t>a new option for</w:t>
      </w:r>
      <w:r w:rsidRPr="00C85F64">
        <w:rPr>
          <w:bCs/>
          <w:sz w:val="24"/>
          <w:szCs w:val="24"/>
        </w:rPr>
        <w:t xml:space="preserve"> qualified charitable distributions. Finally, this chapter contains a summary of key provisions in SECURE 2.0.</w:t>
      </w:r>
    </w:p>
    <w:p w14:paraId="1760D381" w14:textId="77777777" w:rsidR="00C85F64" w:rsidRDefault="00C85F64" w:rsidP="00AF3817">
      <w:pPr>
        <w:keepNext/>
        <w:keepLines/>
        <w:spacing w:line="276" w:lineRule="auto"/>
        <w:rPr>
          <w:b/>
          <w:sz w:val="24"/>
          <w:szCs w:val="24"/>
        </w:rPr>
      </w:pPr>
    </w:p>
    <w:p w14:paraId="1E754288" w14:textId="19F97916" w:rsidR="00C85F64" w:rsidRPr="003B7654" w:rsidRDefault="00C85F64" w:rsidP="00AF3817">
      <w:pPr>
        <w:keepNext/>
        <w:keepLines/>
        <w:spacing w:line="276" w:lineRule="auto"/>
        <w:rPr>
          <w:sz w:val="24"/>
          <w:szCs w:val="24"/>
        </w:rPr>
      </w:pPr>
      <w:r w:rsidRPr="003B7654">
        <w:rPr>
          <w:b/>
          <w:sz w:val="24"/>
          <w:szCs w:val="24"/>
        </w:rPr>
        <w:t xml:space="preserve">Individual </w:t>
      </w:r>
      <w:r>
        <w:rPr>
          <w:b/>
          <w:sz w:val="24"/>
          <w:szCs w:val="24"/>
        </w:rPr>
        <w:t xml:space="preserve">Tax </w:t>
      </w:r>
      <w:r w:rsidRPr="003B7654">
        <w:rPr>
          <w:b/>
          <w:sz w:val="24"/>
          <w:szCs w:val="24"/>
        </w:rPr>
        <w:t>Issues</w:t>
      </w:r>
      <w:r>
        <w:rPr>
          <w:b/>
          <w:sz w:val="24"/>
          <w:szCs w:val="24"/>
        </w:rPr>
        <w:t>: Part 1</w:t>
      </w:r>
      <w:r w:rsidRPr="003B7654">
        <w:rPr>
          <w:sz w:val="24"/>
          <w:szCs w:val="24"/>
        </w:rPr>
        <w:t>. Th</w:t>
      </w:r>
      <w:r>
        <w:rPr>
          <w:sz w:val="24"/>
          <w:szCs w:val="24"/>
        </w:rPr>
        <w:t>is</w:t>
      </w:r>
      <w:r w:rsidRPr="003B7654">
        <w:rPr>
          <w:sz w:val="24"/>
          <w:szCs w:val="24"/>
        </w:rPr>
        <w:t xml:space="preserve"> chapter cover</w:t>
      </w:r>
      <w:r>
        <w:rPr>
          <w:sz w:val="24"/>
          <w:szCs w:val="24"/>
        </w:rPr>
        <w:t>s</w:t>
      </w:r>
      <w:r w:rsidRPr="003B7654">
        <w:rPr>
          <w:sz w:val="24"/>
          <w:szCs w:val="24"/>
        </w:rPr>
        <w:t xml:space="preserve"> several</w:t>
      </w:r>
      <w:r>
        <w:rPr>
          <w:sz w:val="24"/>
          <w:szCs w:val="24"/>
        </w:rPr>
        <w:t xml:space="preserve"> current</w:t>
      </w:r>
      <w:r w:rsidRPr="003B7654">
        <w:rPr>
          <w:sz w:val="24"/>
          <w:szCs w:val="24"/>
        </w:rPr>
        <w:t xml:space="preserve"> issues </w:t>
      </w:r>
      <w:r>
        <w:rPr>
          <w:sz w:val="24"/>
          <w:szCs w:val="24"/>
        </w:rPr>
        <w:t xml:space="preserve">for </w:t>
      </w:r>
      <w:r w:rsidRPr="003B7654">
        <w:rPr>
          <w:sz w:val="24"/>
          <w:szCs w:val="24"/>
        </w:rPr>
        <w:t>tax practitioners preparing individual income tax returns, including the following:</w:t>
      </w:r>
    </w:p>
    <w:p w14:paraId="49A9AC07" w14:textId="77777777" w:rsidR="00C85F64" w:rsidRPr="00C85F64" w:rsidRDefault="00C85F64" w:rsidP="00AF3817">
      <w:pPr>
        <w:pStyle w:val="BL"/>
        <w:spacing w:line="276" w:lineRule="auto"/>
        <w:rPr>
          <w:sz w:val="24"/>
          <w:szCs w:val="24"/>
        </w:rPr>
      </w:pPr>
      <w:r w:rsidRPr="00C85F64">
        <w:rPr>
          <w:sz w:val="24"/>
          <w:szCs w:val="24"/>
        </w:rPr>
        <w:t>Casualty losses</w:t>
      </w:r>
    </w:p>
    <w:p w14:paraId="0D3972CB" w14:textId="59793795" w:rsidR="00C85F64" w:rsidRPr="00C85F64" w:rsidRDefault="00C85F64" w:rsidP="00AF3817">
      <w:pPr>
        <w:pStyle w:val="BL"/>
        <w:spacing w:line="276" w:lineRule="auto"/>
        <w:rPr>
          <w:sz w:val="24"/>
          <w:szCs w:val="24"/>
        </w:rPr>
      </w:pPr>
      <w:r w:rsidRPr="00C85F64">
        <w:rPr>
          <w:sz w:val="24"/>
          <w:szCs w:val="24"/>
        </w:rPr>
        <w:t>Disaster relief</w:t>
      </w:r>
    </w:p>
    <w:p w14:paraId="6FF59EF3" w14:textId="018826A5" w:rsidR="00C85F64" w:rsidRPr="00C85F64" w:rsidRDefault="00C85F64" w:rsidP="00AF3817">
      <w:pPr>
        <w:pStyle w:val="BL"/>
        <w:spacing w:line="276" w:lineRule="auto"/>
        <w:rPr>
          <w:sz w:val="24"/>
          <w:szCs w:val="24"/>
        </w:rPr>
      </w:pPr>
      <w:r>
        <w:rPr>
          <w:sz w:val="24"/>
          <w:szCs w:val="24"/>
        </w:rPr>
        <w:t>New guidance on d</w:t>
      </w:r>
      <w:r w:rsidRPr="00C85F64">
        <w:rPr>
          <w:sz w:val="24"/>
          <w:szCs w:val="24"/>
        </w:rPr>
        <w:t>igital assets</w:t>
      </w:r>
    </w:p>
    <w:p w14:paraId="3CDFBBE0" w14:textId="79A571F5" w:rsidR="00C85F64" w:rsidRDefault="00C85F64" w:rsidP="00AF3817">
      <w:pPr>
        <w:pStyle w:val="BL"/>
        <w:spacing w:line="276" w:lineRule="auto"/>
        <w:rPr>
          <w:sz w:val="24"/>
          <w:szCs w:val="24"/>
        </w:rPr>
      </w:pPr>
      <w:r w:rsidRPr="00C85F64">
        <w:rPr>
          <w:sz w:val="24"/>
          <w:szCs w:val="24"/>
        </w:rPr>
        <w:t>Mortgage interest deduction</w:t>
      </w:r>
    </w:p>
    <w:p w14:paraId="5B11B9F1" w14:textId="521728CB" w:rsidR="00C85F64" w:rsidRDefault="00C85F64" w:rsidP="00AF3817">
      <w:pPr>
        <w:pStyle w:val="BL"/>
        <w:numPr>
          <w:ilvl w:val="0"/>
          <w:numId w:val="0"/>
        </w:numPr>
        <w:spacing w:line="276" w:lineRule="auto"/>
        <w:ind w:left="360" w:hanging="360"/>
        <w:rPr>
          <w:sz w:val="24"/>
          <w:szCs w:val="24"/>
        </w:rPr>
      </w:pPr>
    </w:p>
    <w:p w14:paraId="37754D7F" w14:textId="77777777" w:rsidR="00905DBB" w:rsidRPr="00905DBB" w:rsidRDefault="00C85F64" w:rsidP="00AF3817">
      <w:pPr>
        <w:pStyle w:val="NoSpacing"/>
        <w:spacing w:line="276" w:lineRule="auto"/>
        <w:rPr>
          <w:rFonts w:ascii="Times New Roman" w:hAnsi="Times New Roman" w:cs="Times New Roman"/>
          <w:sz w:val="24"/>
          <w:szCs w:val="24"/>
        </w:rPr>
      </w:pPr>
      <w:r w:rsidRPr="00905DBB">
        <w:rPr>
          <w:rFonts w:ascii="Times New Roman" w:hAnsi="Times New Roman" w:cs="Times New Roman"/>
          <w:b/>
          <w:bCs/>
          <w:sz w:val="24"/>
          <w:szCs w:val="24"/>
        </w:rPr>
        <w:t>Individual Tax Issues: Part 2</w:t>
      </w:r>
      <w:r w:rsidRPr="00905DBB">
        <w:rPr>
          <w:rFonts w:ascii="Times New Roman" w:hAnsi="Times New Roman" w:cs="Times New Roman"/>
          <w:sz w:val="24"/>
          <w:szCs w:val="24"/>
        </w:rPr>
        <w:t xml:space="preserve">. This chapter explains new laws and regulations that are important for individual </w:t>
      </w:r>
      <w:r w:rsidR="00905DBB" w:rsidRPr="00905DBB">
        <w:rPr>
          <w:rFonts w:ascii="Times New Roman" w:hAnsi="Times New Roman" w:cs="Times New Roman"/>
          <w:sz w:val="24"/>
          <w:szCs w:val="24"/>
        </w:rPr>
        <w:t>taxpayer returns. It includes the following:</w:t>
      </w:r>
    </w:p>
    <w:p w14:paraId="4B3460A3" w14:textId="111F5E39" w:rsidR="00C85F64" w:rsidRPr="00905DBB" w:rsidRDefault="00C85F64" w:rsidP="00AF3817">
      <w:pPr>
        <w:pStyle w:val="BL"/>
        <w:spacing w:line="276" w:lineRule="auto"/>
        <w:rPr>
          <w:sz w:val="24"/>
          <w:szCs w:val="24"/>
        </w:rPr>
      </w:pPr>
      <w:r w:rsidRPr="00905DBB">
        <w:rPr>
          <w:sz w:val="24"/>
          <w:szCs w:val="24"/>
        </w:rPr>
        <w:t xml:space="preserve">Premium tax credit </w:t>
      </w:r>
      <w:r w:rsidR="00905DBB" w:rsidRPr="00905DBB">
        <w:rPr>
          <w:sz w:val="24"/>
          <w:szCs w:val="24"/>
        </w:rPr>
        <w:t>– new regulations</w:t>
      </w:r>
    </w:p>
    <w:p w14:paraId="336C2FD2" w14:textId="58AC05E6" w:rsidR="00C85F64" w:rsidRPr="00905DBB" w:rsidRDefault="00C85F64" w:rsidP="00AF3817">
      <w:pPr>
        <w:pStyle w:val="BL"/>
        <w:spacing w:line="276" w:lineRule="auto"/>
        <w:rPr>
          <w:rFonts w:cs="Times New Roman"/>
          <w:sz w:val="24"/>
          <w:szCs w:val="24"/>
        </w:rPr>
      </w:pPr>
      <w:r w:rsidRPr="00905DBB">
        <w:rPr>
          <w:rFonts w:cs="Times New Roman"/>
          <w:sz w:val="24"/>
          <w:szCs w:val="24"/>
        </w:rPr>
        <w:t>Clean vehicle credits</w:t>
      </w:r>
    </w:p>
    <w:p w14:paraId="587366A0" w14:textId="5A6B30EE" w:rsidR="00C85F64" w:rsidRPr="00905DBB" w:rsidRDefault="00C85F64" w:rsidP="00AF3817">
      <w:pPr>
        <w:pStyle w:val="BL"/>
        <w:spacing w:line="276" w:lineRule="auto"/>
        <w:rPr>
          <w:rFonts w:cs="Times New Roman"/>
          <w:sz w:val="24"/>
          <w:szCs w:val="24"/>
        </w:rPr>
      </w:pPr>
      <w:r w:rsidRPr="00905DBB">
        <w:rPr>
          <w:rFonts w:cs="Times New Roman"/>
          <w:sz w:val="24"/>
          <w:szCs w:val="24"/>
        </w:rPr>
        <w:t>Home energy credits</w:t>
      </w:r>
    </w:p>
    <w:p w14:paraId="0F85E2C0" w14:textId="62B788E4" w:rsidR="00C85F64" w:rsidRPr="00905DBB" w:rsidRDefault="00905DBB" w:rsidP="00AF3817">
      <w:pPr>
        <w:pStyle w:val="BL"/>
        <w:spacing w:line="276" w:lineRule="auto"/>
        <w:rPr>
          <w:sz w:val="24"/>
          <w:szCs w:val="24"/>
        </w:rPr>
      </w:pPr>
      <w:r w:rsidRPr="00905DBB">
        <w:rPr>
          <w:sz w:val="24"/>
          <w:szCs w:val="24"/>
        </w:rPr>
        <w:t>Household employee</w:t>
      </w:r>
      <w:r w:rsidR="00C85F64" w:rsidRPr="00905DBB">
        <w:rPr>
          <w:sz w:val="24"/>
          <w:szCs w:val="24"/>
        </w:rPr>
        <w:t xml:space="preserve"> tax reporting </w:t>
      </w:r>
    </w:p>
    <w:p w14:paraId="360B809A" w14:textId="77777777" w:rsidR="00905DBB" w:rsidRPr="00905DBB" w:rsidRDefault="00905DBB" w:rsidP="00AF3817">
      <w:pPr>
        <w:pStyle w:val="BL"/>
        <w:numPr>
          <w:ilvl w:val="0"/>
          <w:numId w:val="0"/>
        </w:numPr>
        <w:spacing w:line="276" w:lineRule="auto"/>
        <w:ind w:left="360" w:hanging="360"/>
        <w:rPr>
          <w:sz w:val="24"/>
          <w:szCs w:val="24"/>
        </w:rPr>
      </w:pPr>
    </w:p>
    <w:p w14:paraId="75FC2A6F" w14:textId="58C0C063" w:rsidR="008B7BDD" w:rsidRPr="00905DBB" w:rsidRDefault="008B7BDD" w:rsidP="00AF3817">
      <w:pPr>
        <w:keepNext/>
        <w:keepLines/>
        <w:spacing w:line="276" w:lineRule="auto"/>
        <w:rPr>
          <w:sz w:val="24"/>
          <w:szCs w:val="24"/>
        </w:rPr>
      </w:pPr>
      <w:r w:rsidRPr="00905DBB">
        <w:rPr>
          <w:b/>
          <w:sz w:val="24"/>
          <w:szCs w:val="24"/>
        </w:rPr>
        <w:t xml:space="preserve">Agriculture and Natural Resource </w:t>
      </w:r>
      <w:r w:rsidR="00AF3817">
        <w:rPr>
          <w:b/>
          <w:sz w:val="24"/>
          <w:szCs w:val="24"/>
        </w:rPr>
        <w:t xml:space="preserve">Tax </w:t>
      </w:r>
      <w:r w:rsidRPr="00905DBB">
        <w:rPr>
          <w:b/>
          <w:sz w:val="24"/>
          <w:szCs w:val="24"/>
        </w:rPr>
        <w:t>Issues</w:t>
      </w:r>
      <w:r w:rsidRPr="00AF3817">
        <w:rPr>
          <w:bCs/>
          <w:sz w:val="24"/>
          <w:szCs w:val="24"/>
        </w:rPr>
        <w:t>.</w:t>
      </w:r>
      <w:r w:rsidRPr="00905DBB">
        <w:rPr>
          <w:b/>
          <w:sz w:val="24"/>
          <w:szCs w:val="24"/>
        </w:rPr>
        <w:t xml:space="preserve"> </w:t>
      </w:r>
      <w:r w:rsidRPr="00905DBB">
        <w:rPr>
          <w:sz w:val="24"/>
          <w:szCs w:val="24"/>
        </w:rPr>
        <w:t>This chapter covers emerging topics that affect farmers and ranchers, including the following:</w:t>
      </w:r>
    </w:p>
    <w:p w14:paraId="2D71BC7A" w14:textId="75607AE8" w:rsidR="00C85F64" w:rsidRPr="00905DBB" w:rsidRDefault="00C85F64" w:rsidP="00AF3817">
      <w:pPr>
        <w:pStyle w:val="BL"/>
        <w:spacing w:line="276" w:lineRule="auto"/>
        <w:rPr>
          <w:sz w:val="24"/>
          <w:szCs w:val="24"/>
        </w:rPr>
      </w:pPr>
      <w:r w:rsidRPr="00905DBB">
        <w:rPr>
          <w:sz w:val="24"/>
          <w:szCs w:val="24"/>
        </w:rPr>
        <w:t xml:space="preserve">Logging </w:t>
      </w:r>
    </w:p>
    <w:p w14:paraId="7F585820" w14:textId="3DCD0561" w:rsidR="00C85F64" w:rsidRPr="00905DBB" w:rsidRDefault="00C85F64" w:rsidP="00AF3817">
      <w:pPr>
        <w:pStyle w:val="BL"/>
        <w:spacing w:line="276" w:lineRule="auto"/>
        <w:rPr>
          <w:sz w:val="24"/>
          <w:szCs w:val="24"/>
        </w:rPr>
      </w:pPr>
      <w:r w:rsidRPr="00905DBB">
        <w:rPr>
          <w:sz w:val="24"/>
          <w:szCs w:val="24"/>
        </w:rPr>
        <w:t>Section 126 cost-share exclusion payments</w:t>
      </w:r>
    </w:p>
    <w:p w14:paraId="7B39D296" w14:textId="3BAB9639" w:rsidR="00C85F64" w:rsidRPr="00905DBB" w:rsidRDefault="00905DBB" w:rsidP="00AF3817">
      <w:pPr>
        <w:pStyle w:val="BL"/>
        <w:spacing w:line="276" w:lineRule="auto"/>
        <w:rPr>
          <w:sz w:val="24"/>
          <w:szCs w:val="24"/>
        </w:rPr>
      </w:pPr>
      <w:r w:rsidRPr="00905DBB">
        <w:rPr>
          <w:sz w:val="24"/>
          <w:szCs w:val="24"/>
        </w:rPr>
        <w:t>New guidance on e</w:t>
      </w:r>
      <w:r w:rsidR="00C85F64" w:rsidRPr="00905DBB">
        <w:rPr>
          <w:sz w:val="24"/>
          <w:szCs w:val="24"/>
        </w:rPr>
        <w:t>mployee vs. independent contractor</w:t>
      </w:r>
      <w:r w:rsidRPr="00905DBB">
        <w:rPr>
          <w:sz w:val="24"/>
          <w:szCs w:val="24"/>
        </w:rPr>
        <w:t xml:space="preserve"> characterization</w:t>
      </w:r>
    </w:p>
    <w:p w14:paraId="7450B435" w14:textId="5553D78B" w:rsidR="00C85F64" w:rsidRPr="00905DBB" w:rsidRDefault="00C85F64" w:rsidP="00AF3817">
      <w:pPr>
        <w:pStyle w:val="BL"/>
        <w:spacing w:line="276" w:lineRule="auto"/>
        <w:rPr>
          <w:sz w:val="24"/>
          <w:szCs w:val="24"/>
        </w:rPr>
      </w:pPr>
      <w:r w:rsidRPr="00905DBB">
        <w:rPr>
          <w:sz w:val="24"/>
          <w:szCs w:val="24"/>
        </w:rPr>
        <w:t xml:space="preserve">Farm trade or business </w:t>
      </w:r>
    </w:p>
    <w:p w14:paraId="40C446A2" w14:textId="641913F6" w:rsidR="00C85F64" w:rsidRPr="00905DBB" w:rsidRDefault="00C85F64" w:rsidP="00AF3817">
      <w:pPr>
        <w:pStyle w:val="BL"/>
        <w:spacing w:line="276" w:lineRule="auto"/>
        <w:rPr>
          <w:rFonts w:cs="Times New Roman"/>
          <w:sz w:val="24"/>
          <w:szCs w:val="24"/>
        </w:rPr>
      </w:pPr>
      <w:r w:rsidRPr="00905DBB">
        <w:rPr>
          <w:sz w:val="24"/>
          <w:szCs w:val="24"/>
        </w:rPr>
        <w:t>Farming S corporation and C corporation issues</w:t>
      </w:r>
    </w:p>
    <w:p w14:paraId="08691138" w14:textId="77777777" w:rsidR="0083464E" w:rsidRPr="003B7654" w:rsidRDefault="0083464E" w:rsidP="00AF3817">
      <w:pPr>
        <w:tabs>
          <w:tab w:val="left" w:pos="360"/>
        </w:tabs>
        <w:spacing w:line="276" w:lineRule="auto"/>
        <w:rPr>
          <w:bCs/>
          <w:sz w:val="24"/>
          <w:szCs w:val="24"/>
        </w:rPr>
      </w:pPr>
    </w:p>
    <w:p w14:paraId="569E72E2" w14:textId="270C5611" w:rsidR="00C85F64" w:rsidRPr="00905DBB" w:rsidRDefault="00410114" w:rsidP="00AF3817">
      <w:pPr>
        <w:pStyle w:val="NoSpacing"/>
        <w:spacing w:line="276" w:lineRule="auto"/>
        <w:rPr>
          <w:rFonts w:ascii="Times New Roman" w:hAnsi="Times New Roman" w:cs="Times New Roman"/>
          <w:sz w:val="24"/>
          <w:szCs w:val="24"/>
        </w:rPr>
      </w:pPr>
      <w:r w:rsidRPr="00905DBB">
        <w:rPr>
          <w:rFonts w:ascii="Times New Roman" w:hAnsi="Times New Roman" w:cs="Times New Roman"/>
          <w:b/>
          <w:sz w:val="24"/>
          <w:szCs w:val="24"/>
        </w:rPr>
        <w:t>Business Entity Tax Issues</w:t>
      </w:r>
      <w:r w:rsidRPr="00AF3817">
        <w:rPr>
          <w:rFonts w:ascii="Times New Roman" w:hAnsi="Times New Roman" w:cs="Times New Roman"/>
          <w:bCs/>
          <w:sz w:val="24"/>
          <w:szCs w:val="24"/>
        </w:rPr>
        <w:t xml:space="preserve">. </w:t>
      </w:r>
      <w:r w:rsidRPr="00905DBB">
        <w:rPr>
          <w:rFonts w:ascii="Times New Roman" w:hAnsi="Times New Roman" w:cs="Times New Roman"/>
          <w:bCs/>
          <w:sz w:val="24"/>
          <w:szCs w:val="24"/>
        </w:rPr>
        <w:t xml:space="preserve">This chapter examines issues that pertain to business entities, including </w:t>
      </w:r>
      <w:r w:rsidR="006309D7">
        <w:rPr>
          <w:rFonts w:ascii="Times New Roman" w:hAnsi="Times New Roman" w:cs="Times New Roman"/>
          <w:sz w:val="24"/>
          <w:szCs w:val="24"/>
        </w:rPr>
        <w:t>a</w:t>
      </w:r>
      <w:r w:rsidR="00C85F64" w:rsidRPr="00905DBB">
        <w:rPr>
          <w:rFonts w:ascii="Times New Roman" w:hAnsi="Times New Roman" w:cs="Times New Roman"/>
          <w:sz w:val="24"/>
          <w:szCs w:val="24"/>
        </w:rPr>
        <w:t xml:space="preserve">djusting </w:t>
      </w:r>
      <w:r w:rsidR="006309D7">
        <w:rPr>
          <w:rFonts w:ascii="Times New Roman" w:hAnsi="Times New Roman" w:cs="Times New Roman"/>
          <w:sz w:val="24"/>
          <w:szCs w:val="24"/>
        </w:rPr>
        <w:t xml:space="preserve">and reporting </w:t>
      </w:r>
      <w:r w:rsidR="00C85F64" w:rsidRPr="00905DBB">
        <w:rPr>
          <w:rFonts w:ascii="Times New Roman" w:hAnsi="Times New Roman" w:cs="Times New Roman"/>
          <w:sz w:val="24"/>
          <w:szCs w:val="24"/>
        </w:rPr>
        <w:t>S corporation debt basis</w:t>
      </w:r>
      <w:r w:rsidR="006309D7">
        <w:rPr>
          <w:rFonts w:ascii="Times New Roman" w:hAnsi="Times New Roman" w:cs="Times New Roman"/>
          <w:sz w:val="24"/>
          <w:szCs w:val="24"/>
        </w:rPr>
        <w:t>, a comparison of a redemption vs. a sale of a partnership interest, new S</w:t>
      </w:r>
      <w:r w:rsidR="00C85F64" w:rsidRPr="00905DBB">
        <w:rPr>
          <w:rFonts w:ascii="Times New Roman" w:hAnsi="Times New Roman" w:cs="Times New Roman"/>
          <w:sz w:val="24"/>
          <w:szCs w:val="24"/>
        </w:rPr>
        <w:t>chedules K-2 and K-3</w:t>
      </w:r>
      <w:r w:rsidR="006309D7">
        <w:rPr>
          <w:rFonts w:ascii="Times New Roman" w:hAnsi="Times New Roman" w:cs="Times New Roman"/>
          <w:sz w:val="24"/>
          <w:szCs w:val="24"/>
        </w:rPr>
        <w:t xml:space="preserve"> reporting, f</w:t>
      </w:r>
      <w:r w:rsidR="00C85F64" w:rsidRPr="00905DBB">
        <w:rPr>
          <w:rFonts w:ascii="Times New Roman" w:hAnsi="Times New Roman" w:cs="Times New Roman"/>
          <w:sz w:val="24"/>
          <w:szCs w:val="24"/>
        </w:rPr>
        <w:t>ixing S corporation eligibility errors</w:t>
      </w:r>
      <w:r w:rsidR="006309D7">
        <w:rPr>
          <w:rFonts w:ascii="Times New Roman" w:hAnsi="Times New Roman" w:cs="Times New Roman"/>
          <w:sz w:val="24"/>
          <w:szCs w:val="24"/>
        </w:rPr>
        <w:t xml:space="preserve">, and </w:t>
      </w:r>
      <w:r w:rsidR="00C85F64" w:rsidRPr="00905DBB">
        <w:rPr>
          <w:rFonts w:ascii="Times New Roman" w:hAnsi="Times New Roman" w:cs="Times New Roman"/>
          <w:sz w:val="24"/>
          <w:szCs w:val="24"/>
        </w:rPr>
        <w:t>I.R.C. 501(c)(6) business leagues</w:t>
      </w:r>
      <w:r w:rsidR="006309D7">
        <w:rPr>
          <w:rFonts w:ascii="Times New Roman" w:hAnsi="Times New Roman" w:cs="Times New Roman"/>
          <w:sz w:val="24"/>
          <w:szCs w:val="24"/>
        </w:rPr>
        <w:t xml:space="preserve"> eligibility and taxation.</w:t>
      </w:r>
    </w:p>
    <w:p w14:paraId="6A5B1D98" w14:textId="17AA33A0" w:rsidR="00410114" w:rsidRPr="00905DBB" w:rsidRDefault="00410114" w:rsidP="00AF3817">
      <w:pPr>
        <w:spacing w:line="276" w:lineRule="auto"/>
        <w:rPr>
          <w:rFonts w:cs="Times New Roman"/>
          <w:bCs/>
          <w:sz w:val="24"/>
          <w:szCs w:val="24"/>
        </w:rPr>
      </w:pPr>
    </w:p>
    <w:p w14:paraId="66A17EF1" w14:textId="448B3F6A" w:rsidR="00CD31A8" w:rsidRPr="00905DBB" w:rsidRDefault="00CD31A8" w:rsidP="00AF3817">
      <w:pPr>
        <w:spacing w:line="276" w:lineRule="auto"/>
        <w:rPr>
          <w:rFonts w:cs="Times New Roman"/>
          <w:sz w:val="24"/>
          <w:szCs w:val="24"/>
        </w:rPr>
      </w:pPr>
      <w:r w:rsidRPr="00905DBB">
        <w:rPr>
          <w:rFonts w:cs="Times New Roman"/>
          <w:b/>
          <w:sz w:val="24"/>
          <w:szCs w:val="24"/>
        </w:rPr>
        <w:lastRenderedPageBreak/>
        <w:t>Business Tax Issues</w:t>
      </w:r>
      <w:r w:rsidRPr="00AF3817">
        <w:rPr>
          <w:rFonts w:cs="Times New Roman"/>
          <w:bCs/>
          <w:sz w:val="24"/>
          <w:szCs w:val="24"/>
        </w:rPr>
        <w:t>.</w:t>
      </w:r>
      <w:r w:rsidRPr="00905DBB">
        <w:rPr>
          <w:rFonts w:cs="Times New Roman"/>
          <w:b/>
          <w:sz w:val="24"/>
          <w:szCs w:val="24"/>
        </w:rPr>
        <w:t xml:space="preserve"> </w:t>
      </w:r>
      <w:r w:rsidRPr="00905DBB">
        <w:rPr>
          <w:rFonts w:cs="Times New Roman"/>
          <w:sz w:val="24"/>
          <w:szCs w:val="24"/>
        </w:rPr>
        <w:t>This chapter discusses some of the issues that tax practitioners encounter when they prepare returns for clients who operate a business. Topics include the following:</w:t>
      </w:r>
    </w:p>
    <w:p w14:paraId="09DD6C61" w14:textId="7A18FCC3" w:rsidR="006309D7" w:rsidRPr="006309D7" w:rsidRDefault="00C85F64" w:rsidP="00AF3817">
      <w:pPr>
        <w:pStyle w:val="BL"/>
        <w:spacing w:line="276" w:lineRule="auto"/>
        <w:ind w:left="0" w:firstLine="0"/>
        <w:rPr>
          <w:rFonts w:cs="Times New Roman"/>
          <w:sz w:val="24"/>
          <w:szCs w:val="24"/>
        </w:rPr>
      </w:pPr>
      <w:r w:rsidRPr="006309D7">
        <w:rPr>
          <w:sz w:val="24"/>
          <w:szCs w:val="24"/>
        </w:rPr>
        <w:t xml:space="preserve">Correcting </w:t>
      </w:r>
      <w:r w:rsidR="006309D7" w:rsidRPr="006309D7">
        <w:rPr>
          <w:sz w:val="24"/>
          <w:szCs w:val="24"/>
        </w:rPr>
        <w:t xml:space="preserve">a </w:t>
      </w:r>
      <w:r w:rsidRPr="006309D7">
        <w:rPr>
          <w:sz w:val="24"/>
          <w:szCs w:val="24"/>
        </w:rPr>
        <w:t>depreciation schedule</w:t>
      </w:r>
      <w:r w:rsidR="006309D7" w:rsidRPr="006309D7">
        <w:rPr>
          <w:sz w:val="24"/>
          <w:szCs w:val="24"/>
        </w:rPr>
        <w:t xml:space="preserve"> for changes in use </w:t>
      </w:r>
      <w:r w:rsidRPr="006309D7">
        <w:rPr>
          <w:sz w:val="24"/>
          <w:szCs w:val="24"/>
        </w:rPr>
        <w:t>(e.g., short-term to long-term rental</w:t>
      </w:r>
      <w:r w:rsidR="006309D7" w:rsidRPr="006309D7">
        <w:rPr>
          <w:sz w:val="24"/>
          <w:szCs w:val="24"/>
        </w:rPr>
        <w:t>)</w:t>
      </w:r>
      <w:r w:rsidRPr="006309D7">
        <w:rPr>
          <w:sz w:val="24"/>
          <w:szCs w:val="24"/>
        </w:rPr>
        <w:t xml:space="preserve"> </w:t>
      </w:r>
    </w:p>
    <w:p w14:paraId="2565E9C8" w14:textId="2BA5BC80" w:rsidR="00C85F64" w:rsidRPr="006309D7" w:rsidRDefault="00C85F64" w:rsidP="00AF3817">
      <w:pPr>
        <w:pStyle w:val="BL"/>
        <w:spacing w:line="276" w:lineRule="auto"/>
        <w:ind w:left="0" w:firstLine="0"/>
        <w:rPr>
          <w:rFonts w:cs="Times New Roman"/>
          <w:sz w:val="24"/>
          <w:szCs w:val="24"/>
        </w:rPr>
      </w:pPr>
      <w:r w:rsidRPr="006309D7">
        <w:rPr>
          <w:rFonts w:cs="Times New Roman"/>
          <w:sz w:val="24"/>
          <w:szCs w:val="24"/>
        </w:rPr>
        <w:t>Deducting legal fees</w:t>
      </w:r>
    </w:p>
    <w:p w14:paraId="51C65447" w14:textId="69C74A5F" w:rsidR="00C85F64" w:rsidRPr="006309D7" w:rsidRDefault="00C85F64" w:rsidP="00AF3817">
      <w:pPr>
        <w:pStyle w:val="BL"/>
        <w:spacing w:line="276" w:lineRule="auto"/>
        <w:rPr>
          <w:i/>
          <w:iCs/>
          <w:sz w:val="24"/>
          <w:szCs w:val="24"/>
        </w:rPr>
      </w:pPr>
      <w:r w:rsidRPr="006309D7">
        <w:rPr>
          <w:sz w:val="24"/>
          <w:szCs w:val="24"/>
        </w:rPr>
        <w:t xml:space="preserve">Information returns </w:t>
      </w:r>
    </w:p>
    <w:p w14:paraId="17BDCDC7" w14:textId="77777777" w:rsidR="006309D7" w:rsidRPr="006309D7" w:rsidRDefault="00C85F64" w:rsidP="00AF3817">
      <w:pPr>
        <w:pStyle w:val="BL"/>
        <w:tabs>
          <w:tab w:val="left" w:pos="360"/>
        </w:tabs>
        <w:spacing w:line="276" w:lineRule="auto"/>
        <w:rPr>
          <w:rFonts w:cs="Times New Roman"/>
          <w:b/>
          <w:sz w:val="24"/>
          <w:szCs w:val="24"/>
        </w:rPr>
      </w:pPr>
      <w:r w:rsidRPr="006309D7">
        <w:rPr>
          <w:sz w:val="24"/>
          <w:szCs w:val="24"/>
        </w:rPr>
        <w:t xml:space="preserve">Limitation on business interest </w:t>
      </w:r>
    </w:p>
    <w:p w14:paraId="2ECCDDAA" w14:textId="6D5CD229" w:rsidR="00C85F64" w:rsidRPr="006309D7" w:rsidRDefault="006309D7" w:rsidP="00AF3817">
      <w:pPr>
        <w:pStyle w:val="BL"/>
        <w:tabs>
          <w:tab w:val="left" w:pos="360"/>
        </w:tabs>
        <w:spacing w:line="276" w:lineRule="auto"/>
        <w:rPr>
          <w:rFonts w:cs="Times New Roman"/>
          <w:b/>
          <w:sz w:val="24"/>
          <w:szCs w:val="24"/>
        </w:rPr>
      </w:pPr>
      <w:r>
        <w:rPr>
          <w:rFonts w:cs="Times New Roman"/>
          <w:sz w:val="24"/>
          <w:szCs w:val="24"/>
        </w:rPr>
        <w:t>New developments in business t</w:t>
      </w:r>
      <w:r w:rsidR="00C85F64" w:rsidRPr="006309D7">
        <w:rPr>
          <w:rFonts w:cs="Times New Roman"/>
          <w:sz w:val="24"/>
          <w:szCs w:val="24"/>
        </w:rPr>
        <w:t>ax credits</w:t>
      </w:r>
    </w:p>
    <w:p w14:paraId="586B867D" w14:textId="77777777" w:rsidR="006309D7" w:rsidRDefault="006309D7" w:rsidP="00AF3817">
      <w:pPr>
        <w:keepNext/>
        <w:keepLines/>
        <w:spacing w:line="276" w:lineRule="auto"/>
        <w:rPr>
          <w:b/>
          <w:sz w:val="24"/>
          <w:szCs w:val="24"/>
        </w:rPr>
      </w:pPr>
    </w:p>
    <w:p w14:paraId="7ECB9941" w14:textId="1CF75B05" w:rsidR="00354C1B" w:rsidRPr="003B7654" w:rsidRDefault="008B7BDD" w:rsidP="00AF3817">
      <w:pPr>
        <w:keepNext/>
        <w:keepLines/>
        <w:spacing w:line="276" w:lineRule="auto"/>
        <w:rPr>
          <w:sz w:val="24"/>
          <w:szCs w:val="24"/>
        </w:rPr>
      </w:pPr>
      <w:r w:rsidRPr="003B7654">
        <w:rPr>
          <w:b/>
          <w:sz w:val="24"/>
          <w:szCs w:val="24"/>
        </w:rPr>
        <w:t>IRS Issues</w:t>
      </w:r>
      <w:r w:rsidRPr="00BD100A">
        <w:rPr>
          <w:bCs/>
          <w:sz w:val="24"/>
          <w:szCs w:val="24"/>
        </w:rPr>
        <w:t>.</w:t>
      </w:r>
      <w:r w:rsidRPr="003B7654">
        <w:rPr>
          <w:sz w:val="24"/>
          <w:szCs w:val="24"/>
        </w:rPr>
        <w:t xml:space="preserve"> This chapter covers issues the IRS targets as key issues for practitioners. Topics include the following:</w:t>
      </w:r>
    </w:p>
    <w:p w14:paraId="5488DA83" w14:textId="60642E71" w:rsidR="00C85F64" w:rsidRPr="006309D7" w:rsidRDefault="00C85F64" w:rsidP="00AF3817">
      <w:pPr>
        <w:pStyle w:val="BL"/>
        <w:spacing w:line="276" w:lineRule="auto"/>
        <w:rPr>
          <w:sz w:val="24"/>
          <w:szCs w:val="24"/>
        </w:rPr>
      </w:pPr>
      <w:r w:rsidRPr="006309D7">
        <w:rPr>
          <w:sz w:val="24"/>
          <w:szCs w:val="24"/>
        </w:rPr>
        <w:t xml:space="preserve">Tax </w:t>
      </w:r>
      <w:r w:rsidR="00AF3817">
        <w:rPr>
          <w:sz w:val="24"/>
          <w:szCs w:val="24"/>
        </w:rPr>
        <w:t>s</w:t>
      </w:r>
      <w:r w:rsidRPr="006309D7">
        <w:rPr>
          <w:sz w:val="24"/>
          <w:szCs w:val="24"/>
        </w:rPr>
        <w:t xml:space="preserve">cams </w:t>
      </w:r>
    </w:p>
    <w:p w14:paraId="326CB332" w14:textId="77777777" w:rsidR="006309D7" w:rsidRPr="006309D7" w:rsidRDefault="00C85F64" w:rsidP="00AF3817">
      <w:pPr>
        <w:pStyle w:val="BL"/>
        <w:spacing w:line="276" w:lineRule="auto"/>
        <w:rPr>
          <w:rFonts w:cs="Times New Roman"/>
          <w:i/>
          <w:iCs/>
          <w:sz w:val="24"/>
          <w:szCs w:val="24"/>
        </w:rPr>
      </w:pPr>
      <w:r w:rsidRPr="006309D7">
        <w:rPr>
          <w:sz w:val="24"/>
          <w:szCs w:val="24"/>
        </w:rPr>
        <w:t xml:space="preserve">Correspondence audits </w:t>
      </w:r>
    </w:p>
    <w:p w14:paraId="5806D5D2" w14:textId="07EC08B9" w:rsidR="00C85F64" w:rsidRPr="006309D7" w:rsidRDefault="00C85F64" w:rsidP="00AF3817">
      <w:pPr>
        <w:pStyle w:val="BL"/>
        <w:spacing w:line="276" w:lineRule="auto"/>
        <w:rPr>
          <w:rFonts w:cs="Times New Roman"/>
          <w:i/>
          <w:iCs/>
          <w:sz w:val="24"/>
          <w:szCs w:val="24"/>
        </w:rPr>
      </w:pPr>
      <w:r w:rsidRPr="006309D7">
        <w:rPr>
          <w:rFonts w:cs="Times New Roman"/>
          <w:sz w:val="24"/>
          <w:szCs w:val="24"/>
        </w:rPr>
        <w:t xml:space="preserve">Mailing and receive date rules </w:t>
      </w:r>
    </w:p>
    <w:p w14:paraId="1945B408" w14:textId="02CE6E35" w:rsidR="00C85F64" w:rsidRPr="006309D7" w:rsidRDefault="00C85F64" w:rsidP="00AF3817">
      <w:pPr>
        <w:pStyle w:val="BL"/>
        <w:spacing w:line="276" w:lineRule="auto"/>
        <w:rPr>
          <w:rFonts w:cs="Times New Roman"/>
          <w:i/>
          <w:iCs/>
          <w:sz w:val="24"/>
          <w:szCs w:val="24"/>
        </w:rPr>
      </w:pPr>
      <w:r w:rsidRPr="006309D7">
        <w:rPr>
          <w:rFonts w:cs="Times New Roman"/>
          <w:sz w:val="24"/>
          <w:szCs w:val="24"/>
        </w:rPr>
        <w:t>When the IRS pays interest</w:t>
      </w:r>
    </w:p>
    <w:p w14:paraId="2218491C" w14:textId="26AFB1F0" w:rsidR="00C85F64" w:rsidRPr="006309D7" w:rsidRDefault="00C85F64" w:rsidP="00AF3817">
      <w:pPr>
        <w:pStyle w:val="BL"/>
        <w:spacing w:line="276" w:lineRule="auto"/>
        <w:rPr>
          <w:rFonts w:cs="Times New Roman"/>
          <w:i/>
          <w:iCs/>
          <w:sz w:val="24"/>
          <w:szCs w:val="24"/>
        </w:rPr>
      </w:pPr>
      <w:r w:rsidRPr="006309D7">
        <w:rPr>
          <w:rFonts w:cs="Times New Roman"/>
          <w:sz w:val="24"/>
          <w:szCs w:val="24"/>
        </w:rPr>
        <w:t>Offers in compromise</w:t>
      </w:r>
    </w:p>
    <w:p w14:paraId="204245AE" w14:textId="7E56834F" w:rsidR="00C85F64" w:rsidRPr="006309D7" w:rsidRDefault="00C85F64" w:rsidP="00AF3817">
      <w:pPr>
        <w:pStyle w:val="BL"/>
        <w:spacing w:line="276" w:lineRule="auto"/>
        <w:rPr>
          <w:rFonts w:cs="Times New Roman"/>
          <w:sz w:val="24"/>
          <w:szCs w:val="24"/>
        </w:rPr>
      </w:pPr>
      <w:r w:rsidRPr="006309D7">
        <w:rPr>
          <w:rFonts w:cs="Times New Roman"/>
          <w:sz w:val="24"/>
          <w:szCs w:val="24"/>
        </w:rPr>
        <w:t>Information return intake system</w:t>
      </w:r>
    </w:p>
    <w:p w14:paraId="76DD7017" w14:textId="77777777" w:rsidR="00BD100A" w:rsidRPr="00BD100A" w:rsidRDefault="00C85F64" w:rsidP="00AF3817">
      <w:pPr>
        <w:pStyle w:val="BL"/>
        <w:spacing w:line="276" w:lineRule="auto"/>
        <w:rPr>
          <w:rFonts w:cs="Times New Roman"/>
          <w:i/>
          <w:iCs/>
          <w:sz w:val="24"/>
          <w:szCs w:val="24"/>
        </w:rPr>
      </w:pPr>
      <w:r w:rsidRPr="006309D7">
        <w:rPr>
          <w:rFonts w:cs="Times New Roman"/>
          <w:sz w:val="24"/>
          <w:szCs w:val="24"/>
        </w:rPr>
        <w:t>Statutes of limitations</w:t>
      </w:r>
    </w:p>
    <w:p w14:paraId="3F59C0B8" w14:textId="2232185D" w:rsidR="005F7387" w:rsidRPr="006309D7" w:rsidRDefault="00354C1B" w:rsidP="00AF3817">
      <w:pPr>
        <w:pStyle w:val="BL"/>
        <w:numPr>
          <w:ilvl w:val="0"/>
          <w:numId w:val="0"/>
        </w:numPr>
        <w:spacing w:line="276" w:lineRule="auto"/>
        <w:ind w:left="360"/>
        <w:rPr>
          <w:rFonts w:cs="Times New Roman"/>
          <w:i/>
          <w:iCs/>
          <w:sz w:val="24"/>
          <w:szCs w:val="24"/>
        </w:rPr>
      </w:pPr>
      <w:r w:rsidRPr="006309D7">
        <w:rPr>
          <w:rFonts w:cs="Times New Roman"/>
          <w:sz w:val="24"/>
          <w:szCs w:val="24"/>
        </w:rPr>
        <w:tab/>
      </w:r>
      <w:r w:rsidRPr="006309D7">
        <w:rPr>
          <w:rFonts w:cs="Times New Roman"/>
          <w:sz w:val="24"/>
          <w:szCs w:val="24"/>
        </w:rPr>
        <w:tab/>
      </w:r>
    </w:p>
    <w:p w14:paraId="08045A2A" w14:textId="20AE08AB" w:rsidR="00C85F64" w:rsidRPr="00BD100A" w:rsidRDefault="00BD100A" w:rsidP="00AF3817">
      <w:pPr>
        <w:pStyle w:val="NoSpacing"/>
        <w:spacing w:line="276" w:lineRule="auto"/>
        <w:rPr>
          <w:rFonts w:ascii="Times New Roman" w:hAnsi="Times New Roman" w:cs="Times New Roman"/>
          <w:sz w:val="24"/>
          <w:szCs w:val="24"/>
        </w:rPr>
      </w:pPr>
      <w:r>
        <w:rPr>
          <w:rFonts w:ascii="Times New Roman" w:hAnsi="Times New Roman" w:cs="Times New Roman"/>
          <w:b/>
          <w:bCs/>
          <w:sz w:val="24"/>
          <w:szCs w:val="24"/>
        </w:rPr>
        <w:t>Like-Kind Exchange Issues</w:t>
      </w:r>
      <w:r w:rsidRPr="00BD100A">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This chapter provides a practical look at the mechanics of a like-kind exchange, including the following:</w:t>
      </w:r>
    </w:p>
    <w:p w14:paraId="2A03A545" w14:textId="0ABD8E94" w:rsidR="00C85F64" w:rsidRPr="00BD100A" w:rsidRDefault="00C85F64" w:rsidP="00AF3817">
      <w:pPr>
        <w:pStyle w:val="BL"/>
        <w:spacing w:line="276" w:lineRule="auto"/>
        <w:rPr>
          <w:sz w:val="24"/>
          <w:szCs w:val="24"/>
        </w:rPr>
      </w:pPr>
      <w:r w:rsidRPr="00BD100A">
        <w:rPr>
          <w:sz w:val="24"/>
          <w:szCs w:val="24"/>
        </w:rPr>
        <w:t xml:space="preserve">What </w:t>
      </w:r>
      <w:r w:rsidR="00BD100A">
        <w:rPr>
          <w:sz w:val="24"/>
          <w:szCs w:val="24"/>
        </w:rPr>
        <w:t xml:space="preserve">property </w:t>
      </w:r>
      <w:r w:rsidRPr="00BD100A">
        <w:rPr>
          <w:sz w:val="24"/>
          <w:szCs w:val="24"/>
        </w:rPr>
        <w:t>qualifies</w:t>
      </w:r>
      <w:r w:rsidR="00BD100A">
        <w:rPr>
          <w:sz w:val="24"/>
          <w:szCs w:val="24"/>
        </w:rPr>
        <w:t xml:space="preserve"> for an exchange</w:t>
      </w:r>
    </w:p>
    <w:p w14:paraId="2C63D337" w14:textId="300526F8" w:rsidR="00C85F64" w:rsidRPr="00BD100A" w:rsidRDefault="00BD100A" w:rsidP="00AF3817">
      <w:pPr>
        <w:pStyle w:val="BL"/>
        <w:spacing w:line="276" w:lineRule="auto"/>
        <w:rPr>
          <w:sz w:val="24"/>
          <w:szCs w:val="24"/>
        </w:rPr>
      </w:pPr>
      <w:r>
        <w:rPr>
          <w:sz w:val="24"/>
          <w:szCs w:val="24"/>
        </w:rPr>
        <w:t>T</w:t>
      </w:r>
      <w:r w:rsidR="00C85F64" w:rsidRPr="00BD100A">
        <w:rPr>
          <w:sz w:val="24"/>
          <w:szCs w:val="24"/>
        </w:rPr>
        <w:t>iming requirements</w:t>
      </w:r>
    </w:p>
    <w:p w14:paraId="08D284BB" w14:textId="50B4C63E" w:rsidR="00C85F64" w:rsidRPr="00BD100A" w:rsidRDefault="00C85F64" w:rsidP="00AF3817">
      <w:pPr>
        <w:pStyle w:val="BL"/>
        <w:spacing w:line="276" w:lineRule="auto"/>
        <w:rPr>
          <w:sz w:val="24"/>
          <w:szCs w:val="24"/>
        </w:rPr>
      </w:pPr>
      <w:r w:rsidRPr="00BD100A">
        <w:rPr>
          <w:sz w:val="24"/>
          <w:szCs w:val="24"/>
        </w:rPr>
        <w:t>Reporting the exchange</w:t>
      </w:r>
    </w:p>
    <w:p w14:paraId="0F3AA65F" w14:textId="422623AC" w:rsidR="00C85F64" w:rsidRPr="00BD100A" w:rsidRDefault="00C85F64" w:rsidP="00AF3817">
      <w:pPr>
        <w:pStyle w:val="BL"/>
        <w:spacing w:line="276" w:lineRule="auto"/>
        <w:rPr>
          <w:sz w:val="24"/>
          <w:szCs w:val="24"/>
        </w:rPr>
      </w:pPr>
      <w:r w:rsidRPr="00BD100A">
        <w:rPr>
          <w:sz w:val="24"/>
          <w:szCs w:val="24"/>
        </w:rPr>
        <w:t xml:space="preserve">Sale after the exchange </w:t>
      </w:r>
    </w:p>
    <w:p w14:paraId="0D695799" w14:textId="2B0C20D1" w:rsidR="00C85F64" w:rsidRPr="00BD100A" w:rsidRDefault="00BD100A" w:rsidP="00AF3817">
      <w:pPr>
        <w:pStyle w:val="BL"/>
        <w:spacing w:line="276" w:lineRule="auto"/>
        <w:rPr>
          <w:sz w:val="24"/>
          <w:szCs w:val="24"/>
        </w:rPr>
      </w:pPr>
      <w:r>
        <w:rPr>
          <w:sz w:val="24"/>
          <w:szCs w:val="24"/>
        </w:rPr>
        <w:t>Using the exclusion from gain on a principal residence following an exchange</w:t>
      </w:r>
    </w:p>
    <w:p w14:paraId="0F2F64A2" w14:textId="77777777" w:rsidR="005459E8" w:rsidRDefault="005459E8" w:rsidP="00AF3817">
      <w:pPr>
        <w:tabs>
          <w:tab w:val="left" w:pos="360"/>
        </w:tabs>
        <w:spacing w:line="276" w:lineRule="auto"/>
        <w:rPr>
          <w:bCs/>
          <w:sz w:val="24"/>
          <w:szCs w:val="24"/>
        </w:rPr>
      </w:pPr>
    </w:p>
    <w:p w14:paraId="671587D7" w14:textId="6A5F30CD" w:rsidR="00A6403D" w:rsidRPr="002B7685" w:rsidRDefault="003D1830" w:rsidP="00AF3817">
      <w:pPr>
        <w:tabs>
          <w:tab w:val="left" w:pos="360"/>
        </w:tabs>
        <w:spacing w:line="276" w:lineRule="auto"/>
        <w:rPr>
          <w:sz w:val="24"/>
          <w:szCs w:val="24"/>
        </w:rPr>
      </w:pPr>
      <w:r w:rsidRPr="002B7685">
        <w:rPr>
          <w:b/>
          <w:sz w:val="24"/>
          <w:szCs w:val="24"/>
        </w:rPr>
        <w:t xml:space="preserve">New </w:t>
      </w:r>
      <w:r w:rsidR="00777639" w:rsidRPr="002B7685">
        <w:rPr>
          <w:b/>
          <w:sz w:val="24"/>
          <w:szCs w:val="24"/>
        </w:rPr>
        <w:t xml:space="preserve">and Expiring </w:t>
      </w:r>
      <w:r w:rsidRPr="002B7685">
        <w:rPr>
          <w:b/>
          <w:sz w:val="24"/>
          <w:szCs w:val="24"/>
        </w:rPr>
        <w:t>Legislation</w:t>
      </w:r>
      <w:r w:rsidR="00714CF6" w:rsidRPr="00AF3817">
        <w:rPr>
          <w:bCs/>
          <w:sz w:val="24"/>
          <w:szCs w:val="24"/>
        </w:rPr>
        <w:t>.</w:t>
      </w:r>
      <w:r w:rsidR="00714CF6" w:rsidRPr="002B7685">
        <w:rPr>
          <w:b/>
          <w:sz w:val="24"/>
          <w:szCs w:val="24"/>
        </w:rPr>
        <w:t xml:space="preserve"> </w:t>
      </w:r>
      <w:r w:rsidRPr="002B7685">
        <w:rPr>
          <w:sz w:val="24"/>
          <w:szCs w:val="24"/>
        </w:rPr>
        <w:t xml:space="preserve">This chapter covers </w:t>
      </w:r>
      <w:r w:rsidR="00777639" w:rsidRPr="002B7685">
        <w:rPr>
          <w:sz w:val="24"/>
          <w:szCs w:val="24"/>
        </w:rPr>
        <w:t>recently enacted</w:t>
      </w:r>
      <w:r w:rsidR="00714CF6" w:rsidRPr="002B7685">
        <w:rPr>
          <w:sz w:val="24"/>
          <w:szCs w:val="24"/>
        </w:rPr>
        <w:t xml:space="preserve"> </w:t>
      </w:r>
      <w:r w:rsidRPr="002B7685">
        <w:rPr>
          <w:sz w:val="24"/>
          <w:szCs w:val="24"/>
        </w:rPr>
        <w:t>tax legislation</w:t>
      </w:r>
      <w:r w:rsidR="00777639" w:rsidRPr="002B7685">
        <w:rPr>
          <w:sz w:val="24"/>
          <w:szCs w:val="24"/>
        </w:rPr>
        <w:t xml:space="preserve"> and procedures</w:t>
      </w:r>
      <w:r w:rsidRPr="002B7685">
        <w:rPr>
          <w:sz w:val="24"/>
          <w:szCs w:val="24"/>
        </w:rPr>
        <w:t xml:space="preserve">. It is organized by </w:t>
      </w:r>
      <w:r w:rsidR="00777639" w:rsidRPr="002B7685">
        <w:rPr>
          <w:sz w:val="24"/>
          <w:szCs w:val="24"/>
        </w:rPr>
        <w:t>subject</w:t>
      </w:r>
      <w:r w:rsidRPr="002B7685">
        <w:rPr>
          <w:sz w:val="24"/>
          <w:szCs w:val="24"/>
        </w:rPr>
        <w:t xml:space="preserve"> to help participants quickly find topics of interest and includes</w:t>
      </w:r>
      <w:r w:rsidR="004448AF" w:rsidRPr="002B7685">
        <w:rPr>
          <w:sz w:val="24"/>
          <w:szCs w:val="24"/>
        </w:rPr>
        <w:t xml:space="preserve"> </w:t>
      </w:r>
      <w:r w:rsidR="00354C1B" w:rsidRPr="002B7685">
        <w:rPr>
          <w:sz w:val="24"/>
          <w:szCs w:val="24"/>
        </w:rPr>
        <w:t>a</w:t>
      </w:r>
      <w:r w:rsidR="00C30D68" w:rsidRPr="002B7685">
        <w:rPr>
          <w:sz w:val="24"/>
          <w:szCs w:val="24"/>
        </w:rPr>
        <w:t xml:space="preserve"> table of tax provisions that expired </w:t>
      </w:r>
      <w:r w:rsidR="006C37DD" w:rsidRPr="002B7685">
        <w:rPr>
          <w:sz w:val="24"/>
          <w:szCs w:val="24"/>
        </w:rPr>
        <w:t>or</w:t>
      </w:r>
      <w:r w:rsidR="00C30D68" w:rsidRPr="002B7685">
        <w:rPr>
          <w:sz w:val="24"/>
          <w:szCs w:val="24"/>
        </w:rPr>
        <w:t xml:space="preserve"> are set to expire</w:t>
      </w:r>
      <w:r w:rsidR="00101813">
        <w:rPr>
          <w:sz w:val="24"/>
          <w:szCs w:val="24"/>
        </w:rPr>
        <w:t>.</w:t>
      </w:r>
      <w:r w:rsidR="00C30D68" w:rsidRPr="002B7685">
        <w:rPr>
          <w:sz w:val="24"/>
          <w:szCs w:val="24"/>
        </w:rPr>
        <w:t xml:space="preserve"> </w:t>
      </w:r>
    </w:p>
    <w:p w14:paraId="07DC565F" w14:textId="77777777" w:rsidR="00777639" w:rsidRPr="002B7685" w:rsidRDefault="00777639" w:rsidP="00AF3817">
      <w:pPr>
        <w:spacing w:line="276" w:lineRule="auto"/>
        <w:rPr>
          <w:sz w:val="24"/>
          <w:szCs w:val="24"/>
        </w:rPr>
      </w:pPr>
    </w:p>
    <w:p w14:paraId="3BF27BB2" w14:textId="3C82704F" w:rsidR="003D1830" w:rsidRPr="002B7685" w:rsidRDefault="003D1830" w:rsidP="00AF3817">
      <w:pPr>
        <w:tabs>
          <w:tab w:val="left" w:pos="360"/>
        </w:tabs>
        <w:spacing w:line="276" w:lineRule="auto"/>
        <w:rPr>
          <w:sz w:val="24"/>
          <w:szCs w:val="24"/>
        </w:rPr>
      </w:pPr>
      <w:r w:rsidRPr="002B7685">
        <w:rPr>
          <w:b/>
          <w:sz w:val="24"/>
          <w:szCs w:val="24"/>
        </w:rPr>
        <w:t>Rulings and Cases</w:t>
      </w:r>
      <w:r w:rsidR="00714CF6" w:rsidRPr="00AF3817">
        <w:rPr>
          <w:bCs/>
          <w:sz w:val="24"/>
          <w:szCs w:val="24"/>
        </w:rPr>
        <w:t>.</w:t>
      </w:r>
      <w:r w:rsidR="00714CF6" w:rsidRPr="002B7685">
        <w:rPr>
          <w:b/>
          <w:sz w:val="24"/>
          <w:szCs w:val="24"/>
        </w:rPr>
        <w:t xml:space="preserve"> </w:t>
      </w:r>
      <w:r w:rsidRPr="002B7685">
        <w:rPr>
          <w:sz w:val="24"/>
          <w:szCs w:val="24"/>
        </w:rPr>
        <w:t>This chapter summarizes selected rulings and cases that were issued from September 20</w:t>
      </w:r>
      <w:r w:rsidR="00354C1B" w:rsidRPr="002B7685">
        <w:rPr>
          <w:sz w:val="24"/>
          <w:szCs w:val="24"/>
        </w:rPr>
        <w:t>2</w:t>
      </w:r>
      <w:r w:rsidR="00BD100A">
        <w:rPr>
          <w:sz w:val="24"/>
          <w:szCs w:val="24"/>
        </w:rPr>
        <w:t>2</w:t>
      </w:r>
      <w:r w:rsidRPr="002B7685">
        <w:rPr>
          <w:sz w:val="24"/>
          <w:szCs w:val="24"/>
        </w:rPr>
        <w:t xml:space="preserve"> through August 20</w:t>
      </w:r>
      <w:r w:rsidR="004448AF" w:rsidRPr="002B7685">
        <w:rPr>
          <w:sz w:val="24"/>
          <w:szCs w:val="24"/>
        </w:rPr>
        <w:t>2</w:t>
      </w:r>
      <w:r w:rsidR="00BD100A">
        <w:rPr>
          <w:sz w:val="24"/>
          <w:szCs w:val="24"/>
        </w:rPr>
        <w:t>3</w:t>
      </w:r>
      <w:r w:rsidR="00C30D68" w:rsidRPr="002B7685">
        <w:rPr>
          <w:sz w:val="24"/>
          <w:szCs w:val="24"/>
        </w:rPr>
        <w:t xml:space="preserve">. It </w:t>
      </w:r>
      <w:r w:rsidRPr="002B7685">
        <w:rPr>
          <w:sz w:val="24"/>
          <w:szCs w:val="24"/>
        </w:rPr>
        <w:t>give</w:t>
      </w:r>
      <w:r w:rsidR="00C30D68" w:rsidRPr="002B7685">
        <w:rPr>
          <w:sz w:val="24"/>
          <w:szCs w:val="24"/>
        </w:rPr>
        <w:t>s</w:t>
      </w:r>
      <w:r w:rsidRPr="002B7685">
        <w:rPr>
          <w:sz w:val="24"/>
          <w:szCs w:val="24"/>
        </w:rPr>
        <w:t xml:space="preserve"> participants an update on issues that are being addressed by the IRS and the courts. </w:t>
      </w:r>
    </w:p>
    <w:p w14:paraId="2602122F" w14:textId="77777777" w:rsidR="006F2165" w:rsidRPr="002B7685" w:rsidRDefault="006F2165" w:rsidP="00AF3817">
      <w:pPr>
        <w:keepNext/>
        <w:keepLines/>
        <w:tabs>
          <w:tab w:val="left" w:pos="360"/>
        </w:tabs>
        <w:spacing w:line="276" w:lineRule="auto"/>
        <w:rPr>
          <w:b/>
          <w:sz w:val="24"/>
          <w:szCs w:val="24"/>
        </w:rPr>
      </w:pPr>
    </w:p>
    <w:p w14:paraId="30DE67AF" w14:textId="685D561E" w:rsidR="00847D77" w:rsidRPr="002B7685" w:rsidRDefault="00847D77" w:rsidP="00AF3817">
      <w:pPr>
        <w:keepNext/>
        <w:keepLines/>
        <w:tabs>
          <w:tab w:val="left" w:pos="360"/>
        </w:tabs>
        <w:spacing w:line="276" w:lineRule="auto"/>
        <w:rPr>
          <w:sz w:val="24"/>
          <w:szCs w:val="24"/>
        </w:rPr>
      </w:pPr>
      <w:r w:rsidRPr="002B7685">
        <w:rPr>
          <w:b/>
          <w:sz w:val="24"/>
          <w:szCs w:val="24"/>
        </w:rPr>
        <w:t>Tax Rates and Useful Tables</w:t>
      </w:r>
      <w:r w:rsidR="0055452D" w:rsidRPr="00AF3817">
        <w:rPr>
          <w:bCs/>
          <w:sz w:val="24"/>
          <w:szCs w:val="24"/>
        </w:rPr>
        <w:t>.</w:t>
      </w:r>
      <w:r w:rsidR="0055452D" w:rsidRPr="002B7685">
        <w:rPr>
          <w:b/>
          <w:sz w:val="24"/>
          <w:szCs w:val="24"/>
        </w:rPr>
        <w:t xml:space="preserve"> </w:t>
      </w:r>
      <w:r w:rsidRPr="002B7685">
        <w:rPr>
          <w:sz w:val="24"/>
          <w:szCs w:val="24"/>
        </w:rPr>
        <w:t xml:space="preserve">This chapter reports the tax rates, deduction limits, credit limits, and income thresholds and limits that change each year. </w:t>
      </w:r>
    </w:p>
    <w:p w14:paraId="5F3C6948" w14:textId="77777777" w:rsidR="00E23537" w:rsidRPr="00925944" w:rsidRDefault="00E23537" w:rsidP="00AF3817">
      <w:pPr>
        <w:keepNext/>
        <w:keepLines/>
        <w:spacing w:line="276" w:lineRule="auto"/>
      </w:pPr>
    </w:p>
    <w:sectPr w:rsidR="00E23537" w:rsidRPr="00925944" w:rsidSect="00D357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D73C" w14:textId="77777777" w:rsidR="007A0098" w:rsidRDefault="007A0098" w:rsidP="00415EE4">
      <w:r>
        <w:separator/>
      </w:r>
    </w:p>
  </w:endnote>
  <w:endnote w:type="continuationSeparator" w:id="0">
    <w:p w14:paraId="0518DF54" w14:textId="77777777" w:rsidR="007A0098" w:rsidRDefault="007A0098" w:rsidP="0041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21468"/>
      <w:docPartObj>
        <w:docPartGallery w:val="Page Numbers (Bottom of Page)"/>
        <w:docPartUnique/>
      </w:docPartObj>
    </w:sdtPr>
    <w:sdtEndPr>
      <w:rPr>
        <w:noProof/>
      </w:rPr>
    </w:sdtEndPr>
    <w:sdtContent>
      <w:p w14:paraId="0711AFAA" w14:textId="3A9EFB59" w:rsidR="00536DFF" w:rsidRDefault="00D35783">
        <w:pPr>
          <w:pStyle w:val="Footer"/>
          <w:jc w:val="center"/>
        </w:pPr>
        <w:r>
          <w:fldChar w:fldCharType="begin"/>
        </w:r>
        <w:r w:rsidR="00536DFF">
          <w:instrText xml:space="preserve"> PAGE   \* MERGEFORMAT </w:instrText>
        </w:r>
        <w:r>
          <w:fldChar w:fldCharType="separate"/>
        </w:r>
        <w:r w:rsidR="00450CF7">
          <w:rPr>
            <w:noProof/>
          </w:rPr>
          <w:t>3</w:t>
        </w:r>
        <w:r>
          <w:rPr>
            <w:noProof/>
          </w:rPr>
          <w:fldChar w:fldCharType="end"/>
        </w:r>
      </w:p>
    </w:sdtContent>
  </w:sdt>
  <w:p w14:paraId="4C8CCAB9" w14:textId="77777777" w:rsidR="00415EE4" w:rsidRDefault="0041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0895" w14:textId="77777777" w:rsidR="007A0098" w:rsidRDefault="007A0098" w:rsidP="00415EE4">
      <w:r>
        <w:separator/>
      </w:r>
    </w:p>
  </w:footnote>
  <w:footnote w:type="continuationSeparator" w:id="0">
    <w:p w14:paraId="1EA026BD" w14:textId="77777777" w:rsidR="007A0098" w:rsidRDefault="007A0098" w:rsidP="00415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90445B2"/>
    <w:lvl w:ilvl="0">
      <w:numFmt w:val="decimal"/>
      <w:lvlText w:val="*"/>
      <w:lvlJc w:val="left"/>
    </w:lvl>
  </w:abstractNum>
  <w:abstractNum w:abstractNumId="1" w15:restartNumberingAfterBreak="0">
    <w:nsid w:val="06F75D34"/>
    <w:multiLevelType w:val="multilevel"/>
    <w:tmpl w:val="F2A8A8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FC3122"/>
    <w:multiLevelType w:val="hybridMultilevel"/>
    <w:tmpl w:val="6244597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D7619C7"/>
    <w:multiLevelType w:val="hybridMultilevel"/>
    <w:tmpl w:val="30AA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32DF4"/>
    <w:multiLevelType w:val="singleLevel"/>
    <w:tmpl w:val="66508708"/>
    <w:lvl w:ilvl="0">
      <w:start w:val="1"/>
      <w:numFmt w:val="decimal"/>
      <w:lvlText w:val="%1. "/>
      <w:legacy w:legacy="1" w:legacySpace="0" w:legacyIndent="360"/>
      <w:lvlJc w:val="left"/>
      <w:pPr>
        <w:ind w:left="360" w:hanging="360"/>
      </w:pPr>
      <w:rPr>
        <w:rFonts w:ascii="Times New Roman" w:hAnsi="Times New Roman" w:hint="default"/>
      </w:rPr>
    </w:lvl>
  </w:abstractNum>
  <w:abstractNum w:abstractNumId="5" w15:restartNumberingAfterBreak="0">
    <w:nsid w:val="11330E27"/>
    <w:multiLevelType w:val="hybridMultilevel"/>
    <w:tmpl w:val="8E640436"/>
    <w:lvl w:ilvl="0" w:tplc="C4FA3E8C">
      <w:start w:val="1"/>
      <w:numFmt w:val="bullet"/>
      <w:pStyle w:val="B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F0C90"/>
    <w:multiLevelType w:val="hybridMultilevel"/>
    <w:tmpl w:val="321A8DAC"/>
    <w:lvl w:ilvl="0" w:tplc="FFFFFFFF">
      <w:start w:val="1"/>
      <w:numFmt w:val="bullet"/>
      <w:pStyle w:val="TBIndentedItem"/>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2AC638E3"/>
    <w:multiLevelType w:val="hybridMultilevel"/>
    <w:tmpl w:val="3F18F4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7B64DF"/>
    <w:multiLevelType w:val="hybridMultilevel"/>
    <w:tmpl w:val="B54842BE"/>
    <w:lvl w:ilvl="0" w:tplc="61F2D4F2">
      <w:start w:val="1"/>
      <w:numFmt w:val="bullet"/>
      <w:pStyle w:val="sub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761EF"/>
    <w:multiLevelType w:val="multilevel"/>
    <w:tmpl w:val="A71440CA"/>
    <w:lvl w:ilvl="0">
      <w:start w:val="1"/>
      <w:numFmt w:val="decimal"/>
      <w:pStyle w:val="N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3D90E72"/>
    <w:multiLevelType w:val="hybridMultilevel"/>
    <w:tmpl w:val="C4769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902D62"/>
    <w:multiLevelType w:val="hybridMultilevel"/>
    <w:tmpl w:val="DA86C456"/>
    <w:lvl w:ilvl="0" w:tplc="9E246B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506F15"/>
    <w:multiLevelType w:val="hybridMultilevel"/>
    <w:tmpl w:val="A332678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2D74BC5"/>
    <w:multiLevelType w:val="hybridMultilevel"/>
    <w:tmpl w:val="18780A8E"/>
    <w:lvl w:ilvl="0" w:tplc="AB5A4FB0">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56F7B"/>
    <w:multiLevelType w:val="hybridMultilevel"/>
    <w:tmpl w:val="3A540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132765"/>
    <w:multiLevelType w:val="hybridMultilevel"/>
    <w:tmpl w:val="3BB29784"/>
    <w:lvl w:ilvl="0" w:tplc="46AA4AA0">
      <w:start w:val="1"/>
      <w:numFmt w:val="decimal"/>
      <w:pStyle w:val="subN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E953A2"/>
    <w:multiLevelType w:val="hybridMultilevel"/>
    <w:tmpl w:val="22AEBEBA"/>
    <w:lvl w:ilvl="0" w:tplc="EF9013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031C72"/>
    <w:multiLevelType w:val="multilevel"/>
    <w:tmpl w:val="00809022"/>
    <w:lvl w:ilvl="0">
      <w:start w:val="1"/>
      <w:numFmt w:val="lowerLetter"/>
      <w:pStyle w:val="subalpha"/>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1E231D2"/>
    <w:multiLevelType w:val="hybridMultilevel"/>
    <w:tmpl w:val="F4D8A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601DBC"/>
    <w:multiLevelType w:val="hybridMultilevel"/>
    <w:tmpl w:val="055033D8"/>
    <w:lvl w:ilvl="0" w:tplc="3EE2D908">
      <w:start w:val="1"/>
      <w:numFmt w:val="bullet"/>
      <w:pStyle w:val="noteBL"/>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8"/>
  </w:num>
  <w:num w:numId="7">
    <w:abstractNumId w:val="12"/>
  </w:num>
  <w:num w:numId="8">
    <w:abstractNumId w:val="7"/>
  </w:num>
  <w:num w:numId="9">
    <w:abstractNumId w:val="2"/>
  </w:num>
  <w:num w:numId="10">
    <w:abstractNumId w:val="8"/>
  </w:num>
  <w:num w:numId="11">
    <w:abstractNumId w:val="15"/>
  </w:num>
  <w:num w:numId="12">
    <w:abstractNumId w:val="0"/>
    <w:lvlOverride w:ilvl="0">
      <w:lvl w:ilvl="0">
        <w:start w:val="1"/>
        <w:numFmt w:val="bullet"/>
        <w:lvlText w:val="j "/>
        <w:legacy w:legacy="1" w:legacySpace="0" w:legacyIndent="360"/>
        <w:lvlJc w:val="left"/>
        <w:pPr>
          <w:ind w:left="360" w:hanging="360"/>
        </w:pPr>
        <w:rPr>
          <w:rFonts w:ascii="Times New Roman" w:hAnsi="Times New Roman" w:hint="default"/>
        </w:rPr>
      </w:lvl>
    </w:lvlOverride>
  </w:num>
  <w:num w:numId="13">
    <w:abstractNumId w:val="4"/>
  </w:num>
  <w:num w:numId="14">
    <w:abstractNumId w:val="9"/>
  </w:num>
  <w:num w:numId="15">
    <w:abstractNumId w:val="17"/>
  </w:num>
  <w:num w:numId="16">
    <w:abstractNumId w:val="13"/>
  </w:num>
  <w:num w:numId="17">
    <w:abstractNumId w:val="5"/>
  </w:num>
  <w:num w:numId="18">
    <w:abstractNumId w:val="19"/>
  </w:num>
  <w:num w:numId="19">
    <w:abstractNumId w:val="1"/>
  </w:num>
  <w:num w:numId="20">
    <w:abstractNumId w:val="9"/>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55"/>
    <w:rsid w:val="0000280A"/>
    <w:rsid w:val="00002AC1"/>
    <w:rsid w:val="0003091F"/>
    <w:rsid w:val="00040000"/>
    <w:rsid w:val="00052602"/>
    <w:rsid w:val="00053A7E"/>
    <w:rsid w:val="00054536"/>
    <w:rsid w:val="0006737A"/>
    <w:rsid w:val="00067C0A"/>
    <w:rsid w:val="000743CE"/>
    <w:rsid w:val="00074DA4"/>
    <w:rsid w:val="00081EC7"/>
    <w:rsid w:val="00083A3A"/>
    <w:rsid w:val="0009182D"/>
    <w:rsid w:val="000A53BB"/>
    <w:rsid w:val="000A5FDE"/>
    <w:rsid w:val="000B6599"/>
    <w:rsid w:val="000D0E96"/>
    <w:rsid w:val="000E65A4"/>
    <w:rsid w:val="00101813"/>
    <w:rsid w:val="00105458"/>
    <w:rsid w:val="00113662"/>
    <w:rsid w:val="001251F6"/>
    <w:rsid w:val="00131C22"/>
    <w:rsid w:val="001337B4"/>
    <w:rsid w:val="00134DB1"/>
    <w:rsid w:val="00136096"/>
    <w:rsid w:val="001440DB"/>
    <w:rsid w:val="0019164E"/>
    <w:rsid w:val="001B34E1"/>
    <w:rsid w:val="001B7198"/>
    <w:rsid w:val="001C2422"/>
    <w:rsid w:val="001D5857"/>
    <w:rsid w:val="001F1A21"/>
    <w:rsid w:val="001F68FC"/>
    <w:rsid w:val="0020154A"/>
    <w:rsid w:val="00202048"/>
    <w:rsid w:val="00206136"/>
    <w:rsid w:val="00207CBA"/>
    <w:rsid w:val="00221D3F"/>
    <w:rsid w:val="00224F94"/>
    <w:rsid w:val="00235A17"/>
    <w:rsid w:val="002504C9"/>
    <w:rsid w:val="00250860"/>
    <w:rsid w:val="0025513A"/>
    <w:rsid w:val="002577E4"/>
    <w:rsid w:val="0026040C"/>
    <w:rsid w:val="00263677"/>
    <w:rsid w:val="00270A7A"/>
    <w:rsid w:val="002710DF"/>
    <w:rsid w:val="002766E3"/>
    <w:rsid w:val="00285007"/>
    <w:rsid w:val="002864A6"/>
    <w:rsid w:val="00286F76"/>
    <w:rsid w:val="0029420F"/>
    <w:rsid w:val="002B7685"/>
    <w:rsid w:val="002C0E12"/>
    <w:rsid w:val="002D5367"/>
    <w:rsid w:val="002F4FE7"/>
    <w:rsid w:val="002F6BD0"/>
    <w:rsid w:val="00300EF1"/>
    <w:rsid w:val="00317005"/>
    <w:rsid w:val="00325665"/>
    <w:rsid w:val="00341E3D"/>
    <w:rsid w:val="00352577"/>
    <w:rsid w:val="00353224"/>
    <w:rsid w:val="0035407F"/>
    <w:rsid w:val="00354C1B"/>
    <w:rsid w:val="00384CC3"/>
    <w:rsid w:val="00392570"/>
    <w:rsid w:val="003B7654"/>
    <w:rsid w:val="003D1830"/>
    <w:rsid w:val="003E491A"/>
    <w:rsid w:val="003F01EC"/>
    <w:rsid w:val="003F2AC0"/>
    <w:rsid w:val="003F585B"/>
    <w:rsid w:val="00406F18"/>
    <w:rsid w:val="00410114"/>
    <w:rsid w:val="00414401"/>
    <w:rsid w:val="00415EE4"/>
    <w:rsid w:val="00424482"/>
    <w:rsid w:val="0042655A"/>
    <w:rsid w:val="00441433"/>
    <w:rsid w:val="004448AF"/>
    <w:rsid w:val="00450CF7"/>
    <w:rsid w:val="004566CC"/>
    <w:rsid w:val="00465B60"/>
    <w:rsid w:val="0046695E"/>
    <w:rsid w:val="004700FF"/>
    <w:rsid w:val="004910E1"/>
    <w:rsid w:val="00494AEB"/>
    <w:rsid w:val="004B094D"/>
    <w:rsid w:val="004C4755"/>
    <w:rsid w:val="004C5339"/>
    <w:rsid w:val="004E208B"/>
    <w:rsid w:val="004F6E73"/>
    <w:rsid w:val="00510B7C"/>
    <w:rsid w:val="00515142"/>
    <w:rsid w:val="005161FD"/>
    <w:rsid w:val="00522798"/>
    <w:rsid w:val="00524A52"/>
    <w:rsid w:val="00525065"/>
    <w:rsid w:val="00532E62"/>
    <w:rsid w:val="00536DFF"/>
    <w:rsid w:val="00540A30"/>
    <w:rsid w:val="005459E8"/>
    <w:rsid w:val="00553524"/>
    <w:rsid w:val="0055452D"/>
    <w:rsid w:val="0055487D"/>
    <w:rsid w:val="005631F4"/>
    <w:rsid w:val="00571DE1"/>
    <w:rsid w:val="00577926"/>
    <w:rsid w:val="005B0FD6"/>
    <w:rsid w:val="005B57A7"/>
    <w:rsid w:val="005C2C86"/>
    <w:rsid w:val="005C5A9D"/>
    <w:rsid w:val="005D593D"/>
    <w:rsid w:val="005D6B09"/>
    <w:rsid w:val="005E0E8B"/>
    <w:rsid w:val="005E609F"/>
    <w:rsid w:val="005E661A"/>
    <w:rsid w:val="005E7CAC"/>
    <w:rsid w:val="005F403C"/>
    <w:rsid w:val="005F7387"/>
    <w:rsid w:val="00600AB5"/>
    <w:rsid w:val="00604B36"/>
    <w:rsid w:val="00604BEC"/>
    <w:rsid w:val="00611579"/>
    <w:rsid w:val="00614600"/>
    <w:rsid w:val="006154BF"/>
    <w:rsid w:val="00622E1D"/>
    <w:rsid w:val="00626662"/>
    <w:rsid w:val="006273CE"/>
    <w:rsid w:val="006309D7"/>
    <w:rsid w:val="00630B4F"/>
    <w:rsid w:val="006418B7"/>
    <w:rsid w:val="00667614"/>
    <w:rsid w:val="006730C4"/>
    <w:rsid w:val="0067536B"/>
    <w:rsid w:val="00680A2D"/>
    <w:rsid w:val="00681AD8"/>
    <w:rsid w:val="006868D6"/>
    <w:rsid w:val="006A7B52"/>
    <w:rsid w:val="006B25EB"/>
    <w:rsid w:val="006C226D"/>
    <w:rsid w:val="006C37DD"/>
    <w:rsid w:val="006D4DAD"/>
    <w:rsid w:val="006F2165"/>
    <w:rsid w:val="006F5F1E"/>
    <w:rsid w:val="007056CB"/>
    <w:rsid w:val="00707C7D"/>
    <w:rsid w:val="00710CE3"/>
    <w:rsid w:val="00714CF6"/>
    <w:rsid w:val="00715756"/>
    <w:rsid w:val="00735C86"/>
    <w:rsid w:val="00736BA5"/>
    <w:rsid w:val="00740066"/>
    <w:rsid w:val="0074014A"/>
    <w:rsid w:val="007554A1"/>
    <w:rsid w:val="00763C2F"/>
    <w:rsid w:val="00764DAC"/>
    <w:rsid w:val="00773D64"/>
    <w:rsid w:val="00777639"/>
    <w:rsid w:val="00781CEA"/>
    <w:rsid w:val="00785F2E"/>
    <w:rsid w:val="00790D30"/>
    <w:rsid w:val="007963A2"/>
    <w:rsid w:val="007A0098"/>
    <w:rsid w:val="007A2231"/>
    <w:rsid w:val="007A671B"/>
    <w:rsid w:val="007B1DE5"/>
    <w:rsid w:val="007C1FFB"/>
    <w:rsid w:val="007C4FBE"/>
    <w:rsid w:val="007D363D"/>
    <w:rsid w:val="00820866"/>
    <w:rsid w:val="00822C0F"/>
    <w:rsid w:val="00823778"/>
    <w:rsid w:val="0082624A"/>
    <w:rsid w:val="0083464E"/>
    <w:rsid w:val="00845AC5"/>
    <w:rsid w:val="00847D77"/>
    <w:rsid w:val="00850D94"/>
    <w:rsid w:val="00865AA3"/>
    <w:rsid w:val="00873867"/>
    <w:rsid w:val="00874A5E"/>
    <w:rsid w:val="00874E43"/>
    <w:rsid w:val="00882A82"/>
    <w:rsid w:val="008937F8"/>
    <w:rsid w:val="008A5E94"/>
    <w:rsid w:val="008B34FB"/>
    <w:rsid w:val="008B6BFF"/>
    <w:rsid w:val="008B7BDD"/>
    <w:rsid w:val="008D3E7E"/>
    <w:rsid w:val="008D6151"/>
    <w:rsid w:val="008D6434"/>
    <w:rsid w:val="008E1115"/>
    <w:rsid w:val="008F28A3"/>
    <w:rsid w:val="008F63DA"/>
    <w:rsid w:val="00901ABE"/>
    <w:rsid w:val="00902A49"/>
    <w:rsid w:val="00905DBB"/>
    <w:rsid w:val="009152E8"/>
    <w:rsid w:val="0091744C"/>
    <w:rsid w:val="009215BC"/>
    <w:rsid w:val="00925944"/>
    <w:rsid w:val="00927D8C"/>
    <w:rsid w:val="00934583"/>
    <w:rsid w:val="00944F8A"/>
    <w:rsid w:val="00956262"/>
    <w:rsid w:val="0096318D"/>
    <w:rsid w:val="009634AA"/>
    <w:rsid w:val="009B033F"/>
    <w:rsid w:val="009B4D16"/>
    <w:rsid w:val="009C721D"/>
    <w:rsid w:val="009C75A9"/>
    <w:rsid w:val="009D3BA3"/>
    <w:rsid w:val="009E31CD"/>
    <w:rsid w:val="00A04514"/>
    <w:rsid w:val="00A114CA"/>
    <w:rsid w:val="00A14739"/>
    <w:rsid w:val="00A45328"/>
    <w:rsid w:val="00A52F32"/>
    <w:rsid w:val="00A6403D"/>
    <w:rsid w:val="00AA24FE"/>
    <w:rsid w:val="00AB066D"/>
    <w:rsid w:val="00AB781E"/>
    <w:rsid w:val="00AC2386"/>
    <w:rsid w:val="00AC6F3F"/>
    <w:rsid w:val="00AF3817"/>
    <w:rsid w:val="00B05944"/>
    <w:rsid w:val="00B07AF4"/>
    <w:rsid w:val="00B10B3F"/>
    <w:rsid w:val="00B15F8F"/>
    <w:rsid w:val="00B21214"/>
    <w:rsid w:val="00B23570"/>
    <w:rsid w:val="00B32136"/>
    <w:rsid w:val="00B62365"/>
    <w:rsid w:val="00B67D64"/>
    <w:rsid w:val="00B93A31"/>
    <w:rsid w:val="00BA5177"/>
    <w:rsid w:val="00BB15E9"/>
    <w:rsid w:val="00BC31FE"/>
    <w:rsid w:val="00BC77F2"/>
    <w:rsid w:val="00BD100A"/>
    <w:rsid w:val="00BD2F4F"/>
    <w:rsid w:val="00BD4C6A"/>
    <w:rsid w:val="00BD71CB"/>
    <w:rsid w:val="00BE5C9C"/>
    <w:rsid w:val="00C038F5"/>
    <w:rsid w:val="00C0757E"/>
    <w:rsid w:val="00C30D68"/>
    <w:rsid w:val="00C32A81"/>
    <w:rsid w:val="00C34B14"/>
    <w:rsid w:val="00C5509B"/>
    <w:rsid w:val="00C5777E"/>
    <w:rsid w:val="00C606A3"/>
    <w:rsid w:val="00C63A30"/>
    <w:rsid w:val="00C66248"/>
    <w:rsid w:val="00C76670"/>
    <w:rsid w:val="00C83816"/>
    <w:rsid w:val="00C84AC5"/>
    <w:rsid w:val="00C85F64"/>
    <w:rsid w:val="00C87297"/>
    <w:rsid w:val="00C917EC"/>
    <w:rsid w:val="00C943D4"/>
    <w:rsid w:val="00CA09CC"/>
    <w:rsid w:val="00CA5402"/>
    <w:rsid w:val="00CA72C2"/>
    <w:rsid w:val="00CB1F0F"/>
    <w:rsid w:val="00CC0EE3"/>
    <w:rsid w:val="00CC62B3"/>
    <w:rsid w:val="00CD31A8"/>
    <w:rsid w:val="00CE0D6F"/>
    <w:rsid w:val="00CE4AA2"/>
    <w:rsid w:val="00D00C49"/>
    <w:rsid w:val="00D02A8A"/>
    <w:rsid w:val="00D2673B"/>
    <w:rsid w:val="00D26B80"/>
    <w:rsid w:val="00D27FE7"/>
    <w:rsid w:val="00D349A9"/>
    <w:rsid w:val="00D35783"/>
    <w:rsid w:val="00D54E7F"/>
    <w:rsid w:val="00D80201"/>
    <w:rsid w:val="00D815E0"/>
    <w:rsid w:val="00D82A62"/>
    <w:rsid w:val="00D9289C"/>
    <w:rsid w:val="00D9608D"/>
    <w:rsid w:val="00D9615A"/>
    <w:rsid w:val="00D97DAC"/>
    <w:rsid w:val="00DA039D"/>
    <w:rsid w:val="00DA77D4"/>
    <w:rsid w:val="00DE011C"/>
    <w:rsid w:val="00DF06C0"/>
    <w:rsid w:val="00DF219D"/>
    <w:rsid w:val="00E12C58"/>
    <w:rsid w:val="00E23537"/>
    <w:rsid w:val="00E26818"/>
    <w:rsid w:val="00E3765B"/>
    <w:rsid w:val="00E37FDD"/>
    <w:rsid w:val="00E41429"/>
    <w:rsid w:val="00E43493"/>
    <w:rsid w:val="00E46FA5"/>
    <w:rsid w:val="00E50FA6"/>
    <w:rsid w:val="00E62936"/>
    <w:rsid w:val="00E64AF4"/>
    <w:rsid w:val="00E73C1C"/>
    <w:rsid w:val="00E76816"/>
    <w:rsid w:val="00E777CE"/>
    <w:rsid w:val="00E9344C"/>
    <w:rsid w:val="00E93D63"/>
    <w:rsid w:val="00E94192"/>
    <w:rsid w:val="00E96109"/>
    <w:rsid w:val="00E9701B"/>
    <w:rsid w:val="00EA4325"/>
    <w:rsid w:val="00EA7AFF"/>
    <w:rsid w:val="00EB63C8"/>
    <w:rsid w:val="00EC28B7"/>
    <w:rsid w:val="00ED2C91"/>
    <w:rsid w:val="00EF7A55"/>
    <w:rsid w:val="00F10345"/>
    <w:rsid w:val="00F16262"/>
    <w:rsid w:val="00F17D53"/>
    <w:rsid w:val="00F21FFA"/>
    <w:rsid w:val="00F2374F"/>
    <w:rsid w:val="00F27F24"/>
    <w:rsid w:val="00F45E3C"/>
    <w:rsid w:val="00F4605E"/>
    <w:rsid w:val="00F47E7E"/>
    <w:rsid w:val="00F53588"/>
    <w:rsid w:val="00F54F70"/>
    <w:rsid w:val="00F70309"/>
    <w:rsid w:val="00F73CC8"/>
    <w:rsid w:val="00F73DB3"/>
    <w:rsid w:val="00F75198"/>
    <w:rsid w:val="00F84672"/>
    <w:rsid w:val="00FA6FCA"/>
    <w:rsid w:val="00FB7C0F"/>
    <w:rsid w:val="00FD47F1"/>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B2B58"/>
  <w15:docId w15:val="{C3E39EC4-B43B-4FD9-9C5B-460F28D6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4F"/>
    <w:pPr>
      <w:spacing w:line="259" w:lineRule="auto"/>
    </w:pPr>
    <w:rPr>
      <w:rFonts w:eastAsiaTheme="minorHAnsi" w:cstheme="minorBidi"/>
      <w:sz w:val="22"/>
      <w:szCs w:val="22"/>
    </w:rPr>
  </w:style>
  <w:style w:type="paragraph" w:styleId="Heading3">
    <w:name w:val="heading 3"/>
    <w:basedOn w:val="Normal"/>
    <w:next w:val="Normal"/>
    <w:link w:val="Heading3Char"/>
    <w:qFormat/>
    <w:rsid w:val="00630B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1A"/>
    <w:pPr>
      <w:ind w:left="720"/>
      <w:contextualSpacing/>
    </w:pPr>
  </w:style>
  <w:style w:type="paragraph" w:styleId="Header">
    <w:name w:val="header"/>
    <w:basedOn w:val="Normal"/>
    <w:link w:val="HeaderChar"/>
    <w:uiPriority w:val="99"/>
    <w:rsid w:val="00630B4F"/>
    <w:pPr>
      <w:tabs>
        <w:tab w:val="center" w:pos="4320"/>
        <w:tab w:val="right" w:pos="8640"/>
      </w:tabs>
    </w:pPr>
  </w:style>
  <w:style w:type="character" w:customStyle="1" w:styleId="HeaderChar">
    <w:name w:val="Header Char"/>
    <w:basedOn w:val="DefaultParagraphFont"/>
    <w:link w:val="Header"/>
    <w:uiPriority w:val="99"/>
    <w:rsid w:val="00630B4F"/>
    <w:rPr>
      <w:rFonts w:eastAsiaTheme="minorHAnsi" w:cstheme="minorBidi"/>
      <w:sz w:val="22"/>
      <w:szCs w:val="22"/>
    </w:rPr>
  </w:style>
  <w:style w:type="paragraph" w:styleId="Footer">
    <w:name w:val="footer"/>
    <w:basedOn w:val="Normal"/>
    <w:link w:val="FooterChar"/>
    <w:uiPriority w:val="99"/>
    <w:rsid w:val="00630B4F"/>
    <w:pPr>
      <w:pBdr>
        <w:top w:val="single" w:sz="4" w:space="1" w:color="auto"/>
      </w:pBdr>
      <w:tabs>
        <w:tab w:val="center" w:pos="4320"/>
        <w:tab w:val="right" w:pos="8640"/>
      </w:tabs>
    </w:pPr>
    <w:rPr>
      <w:rFonts w:ascii="Arial Narrow" w:hAnsi="Arial Narrow"/>
      <w:b/>
    </w:rPr>
  </w:style>
  <w:style w:type="character" w:customStyle="1" w:styleId="FooterChar">
    <w:name w:val="Footer Char"/>
    <w:basedOn w:val="DefaultParagraphFont"/>
    <w:link w:val="Footer"/>
    <w:uiPriority w:val="99"/>
    <w:rsid w:val="00630B4F"/>
    <w:rPr>
      <w:rFonts w:ascii="Arial Narrow" w:eastAsiaTheme="minorHAnsi" w:hAnsi="Arial Narrow" w:cstheme="minorBidi"/>
      <w:b/>
      <w:sz w:val="22"/>
      <w:szCs w:val="22"/>
    </w:rPr>
  </w:style>
  <w:style w:type="paragraph" w:customStyle="1" w:styleId="TOCSummary">
    <w:name w:val="TOC_Summary"/>
    <w:basedOn w:val="Bodynoindent"/>
    <w:next w:val="Bodynoindent"/>
    <w:rsid w:val="00630B4F"/>
    <w:pPr>
      <w:shd w:val="clear" w:color="auto" w:fill="CCCCCC"/>
      <w:ind w:firstLine="720"/>
      <w:jc w:val="left"/>
    </w:pPr>
    <w:rPr>
      <w:rFonts w:ascii="Arial Narrow" w:hAnsi="Arial Narrow"/>
      <w:sz w:val="24"/>
    </w:rPr>
  </w:style>
  <w:style w:type="character" w:styleId="Hyperlink">
    <w:name w:val="Hyperlink"/>
    <w:basedOn w:val="DefaultParagraphFont"/>
    <w:uiPriority w:val="99"/>
    <w:unhideWhenUsed/>
    <w:rsid w:val="00A6403D"/>
    <w:rPr>
      <w:color w:val="0000FF" w:themeColor="hyperlink"/>
      <w:u w:val="single"/>
    </w:rPr>
  </w:style>
  <w:style w:type="paragraph" w:styleId="BalloonText">
    <w:name w:val="Balloon Text"/>
    <w:basedOn w:val="Normal"/>
    <w:link w:val="BalloonTextChar"/>
    <w:uiPriority w:val="99"/>
    <w:semiHidden/>
    <w:unhideWhenUsed/>
    <w:rsid w:val="00CB1F0F"/>
    <w:rPr>
      <w:rFonts w:ascii="Tahoma" w:hAnsi="Tahoma" w:cs="Tahoma"/>
      <w:sz w:val="16"/>
      <w:szCs w:val="16"/>
    </w:rPr>
  </w:style>
  <w:style w:type="character" w:customStyle="1" w:styleId="BalloonTextChar">
    <w:name w:val="Balloon Text Char"/>
    <w:basedOn w:val="DefaultParagraphFont"/>
    <w:link w:val="BalloonText"/>
    <w:uiPriority w:val="99"/>
    <w:semiHidden/>
    <w:rsid w:val="00CB1F0F"/>
    <w:rPr>
      <w:rFonts w:ascii="Tahoma" w:hAnsi="Tahoma" w:cs="Tahoma"/>
      <w:sz w:val="16"/>
      <w:szCs w:val="16"/>
    </w:rPr>
  </w:style>
  <w:style w:type="character" w:styleId="FollowedHyperlink">
    <w:name w:val="FollowedHyperlink"/>
    <w:basedOn w:val="DefaultParagraphFont"/>
    <w:uiPriority w:val="99"/>
    <w:semiHidden/>
    <w:unhideWhenUsed/>
    <w:rsid w:val="006A7B52"/>
    <w:rPr>
      <w:color w:val="800080" w:themeColor="followedHyperlink"/>
      <w:u w:val="single"/>
    </w:rPr>
  </w:style>
  <w:style w:type="table" w:styleId="TableGrid">
    <w:name w:val="Table Grid"/>
    <w:basedOn w:val="TableNormal"/>
    <w:rsid w:val="00630B4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IndentedItem">
    <w:name w:val="TB Indented Item"/>
    <w:basedOn w:val="Normal"/>
    <w:rsid w:val="003D1830"/>
    <w:pPr>
      <w:numPr>
        <w:numId w:val="2"/>
      </w:numPr>
      <w:tabs>
        <w:tab w:val="left" w:pos="360"/>
        <w:tab w:val="left" w:pos="1620"/>
        <w:tab w:val="left" w:pos="3420"/>
        <w:tab w:val="left" w:pos="5490"/>
        <w:tab w:val="left" w:pos="6660"/>
      </w:tabs>
      <w:spacing w:line="240" w:lineRule="atLeast"/>
      <w:ind w:right="360"/>
      <w:jc w:val="both"/>
    </w:pPr>
    <w:rPr>
      <w:rFonts w:eastAsia="MS Mincho"/>
      <w:spacing w:val="-6"/>
      <w:w w:val="95"/>
    </w:rPr>
  </w:style>
  <w:style w:type="paragraph" w:customStyle="1" w:styleId="Bodynoindent">
    <w:name w:val="Body_no_indent"/>
    <w:basedOn w:val="Body"/>
    <w:next w:val="Body"/>
    <w:link w:val="BodynoindentChar"/>
    <w:rsid w:val="00630B4F"/>
    <w:pPr>
      <w:ind w:firstLine="0"/>
    </w:pPr>
  </w:style>
  <w:style w:type="paragraph" w:customStyle="1" w:styleId="Body">
    <w:name w:val="Body"/>
    <w:basedOn w:val="Normal"/>
    <w:rsid w:val="00630B4F"/>
    <w:pPr>
      <w:ind w:firstLine="360"/>
      <w:jc w:val="both"/>
    </w:pPr>
  </w:style>
  <w:style w:type="paragraph" w:styleId="NoSpacing">
    <w:name w:val="No Spacing"/>
    <w:uiPriority w:val="1"/>
    <w:qFormat/>
    <w:rsid w:val="00E9344C"/>
    <w:rPr>
      <w:rFonts w:asciiTheme="minorHAnsi" w:eastAsiaTheme="minorHAnsi" w:hAnsiTheme="minorHAnsi" w:cstheme="minorBidi"/>
      <w:sz w:val="22"/>
      <w:szCs w:val="22"/>
    </w:rPr>
  </w:style>
  <w:style w:type="paragraph" w:customStyle="1" w:styleId="NL">
    <w:name w:val="NL"/>
    <w:basedOn w:val="Normal"/>
    <w:rsid w:val="00630B4F"/>
    <w:pPr>
      <w:numPr>
        <w:numId w:val="3"/>
      </w:numPr>
      <w:spacing w:before="60" w:after="60"/>
      <w:jc w:val="both"/>
    </w:pPr>
  </w:style>
  <w:style w:type="character" w:styleId="Strong">
    <w:name w:val="Strong"/>
    <w:basedOn w:val="DefaultParagraphFont"/>
    <w:uiPriority w:val="22"/>
    <w:qFormat/>
    <w:rsid w:val="00874E43"/>
    <w:rPr>
      <w:b/>
      <w:bCs/>
    </w:rPr>
  </w:style>
  <w:style w:type="character" w:styleId="CommentReference">
    <w:name w:val="annotation reference"/>
    <w:basedOn w:val="DefaultParagraphFont"/>
    <w:uiPriority w:val="99"/>
    <w:semiHidden/>
    <w:unhideWhenUsed/>
    <w:rsid w:val="00525065"/>
    <w:rPr>
      <w:sz w:val="16"/>
      <w:szCs w:val="16"/>
    </w:rPr>
  </w:style>
  <w:style w:type="paragraph" w:styleId="CommentText">
    <w:name w:val="annotation text"/>
    <w:basedOn w:val="Normal"/>
    <w:link w:val="CommentTextChar"/>
    <w:uiPriority w:val="99"/>
    <w:semiHidden/>
    <w:unhideWhenUsed/>
    <w:rsid w:val="00525065"/>
    <w:rPr>
      <w:sz w:val="20"/>
      <w:szCs w:val="20"/>
    </w:rPr>
  </w:style>
  <w:style w:type="character" w:customStyle="1" w:styleId="CommentTextChar">
    <w:name w:val="Comment Text Char"/>
    <w:basedOn w:val="DefaultParagraphFont"/>
    <w:link w:val="CommentText"/>
    <w:uiPriority w:val="99"/>
    <w:semiHidden/>
    <w:rsid w:val="00525065"/>
    <w:rPr>
      <w:sz w:val="20"/>
      <w:szCs w:val="20"/>
    </w:rPr>
  </w:style>
  <w:style w:type="paragraph" w:styleId="CommentSubject">
    <w:name w:val="annotation subject"/>
    <w:basedOn w:val="CommentText"/>
    <w:next w:val="CommentText"/>
    <w:link w:val="CommentSubjectChar"/>
    <w:uiPriority w:val="99"/>
    <w:semiHidden/>
    <w:unhideWhenUsed/>
    <w:rsid w:val="00525065"/>
    <w:rPr>
      <w:b/>
      <w:bCs/>
    </w:rPr>
  </w:style>
  <w:style w:type="character" w:customStyle="1" w:styleId="CommentSubjectChar">
    <w:name w:val="Comment Subject Char"/>
    <w:basedOn w:val="CommentTextChar"/>
    <w:link w:val="CommentSubject"/>
    <w:uiPriority w:val="99"/>
    <w:semiHidden/>
    <w:rsid w:val="00525065"/>
    <w:rPr>
      <w:b/>
      <w:bCs/>
      <w:sz w:val="20"/>
      <w:szCs w:val="20"/>
    </w:rPr>
  </w:style>
  <w:style w:type="character" w:customStyle="1" w:styleId="apple-converted-space">
    <w:name w:val="apple-converted-space"/>
    <w:basedOn w:val="DefaultParagraphFont"/>
    <w:rsid w:val="0055452D"/>
  </w:style>
  <w:style w:type="character" w:customStyle="1" w:styleId="Heading3Char">
    <w:name w:val="Heading 3 Char"/>
    <w:basedOn w:val="DefaultParagraphFont"/>
    <w:link w:val="Heading3"/>
    <w:rsid w:val="008B7BDD"/>
    <w:rPr>
      <w:rFonts w:ascii="Arial" w:eastAsiaTheme="minorHAnsi" w:hAnsi="Arial" w:cs="Arial"/>
      <w:b/>
      <w:bCs/>
      <w:sz w:val="26"/>
      <w:szCs w:val="26"/>
    </w:rPr>
  </w:style>
  <w:style w:type="paragraph" w:customStyle="1" w:styleId="H3">
    <w:name w:val="H3"/>
    <w:basedOn w:val="H2"/>
    <w:next w:val="Bodynoindent"/>
    <w:rsid w:val="00630B4F"/>
    <w:pPr>
      <w:shd w:val="clear" w:color="auto" w:fill="auto"/>
    </w:pPr>
  </w:style>
  <w:style w:type="paragraph" w:customStyle="1" w:styleId="H2">
    <w:name w:val="H2"/>
    <w:basedOn w:val="Bodynoindent"/>
    <w:next w:val="Bodynoindent"/>
    <w:rsid w:val="00630B4F"/>
    <w:pPr>
      <w:keepNext/>
      <w:shd w:val="clear" w:color="auto" w:fill="CCCCCC"/>
      <w:spacing w:before="240" w:after="240"/>
    </w:pPr>
    <w:rPr>
      <w:rFonts w:ascii="Arial Narrow" w:hAnsi="Arial Narrow"/>
      <w:b/>
      <w:sz w:val="28"/>
    </w:rPr>
  </w:style>
  <w:style w:type="paragraph" w:customStyle="1" w:styleId="H1">
    <w:name w:val="H1"/>
    <w:basedOn w:val="Normal"/>
    <w:next w:val="H1Summary"/>
    <w:rsid w:val="00630B4F"/>
    <w:pPr>
      <w:keepNext/>
      <w:shd w:val="clear" w:color="auto" w:fill="CCCCCC"/>
      <w:spacing w:before="240" w:after="120"/>
    </w:pPr>
    <w:rPr>
      <w:rFonts w:ascii="Arial Narrow" w:hAnsi="Arial Narrow"/>
      <w:b/>
      <w:caps/>
      <w:sz w:val="36"/>
    </w:rPr>
  </w:style>
  <w:style w:type="paragraph" w:customStyle="1" w:styleId="H4">
    <w:name w:val="H4"/>
    <w:basedOn w:val="H3"/>
    <w:next w:val="Bodynoindent"/>
    <w:rsid w:val="00630B4F"/>
    <w:pPr>
      <w:spacing w:after="120"/>
    </w:pPr>
    <w:rPr>
      <w:i/>
      <w:sz w:val="24"/>
    </w:rPr>
  </w:style>
  <w:style w:type="paragraph" w:customStyle="1" w:styleId="BL">
    <w:name w:val="BL"/>
    <w:basedOn w:val="Normal"/>
    <w:rsid w:val="00630B4F"/>
    <w:pPr>
      <w:numPr>
        <w:numId w:val="17"/>
      </w:numPr>
      <w:spacing w:before="60" w:after="60"/>
      <w:jc w:val="both"/>
    </w:pPr>
  </w:style>
  <w:style w:type="paragraph" w:customStyle="1" w:styleId="Note">
    <w:name w:val="Note"/>
    <w:basedOn w:val="Normal"/>
    <w:rsid w:val="00630B4F"/>
    <w:pPr>
      <w:pBdr>
        <w:left w:val="single" w:sz="4" w:space="4" w:color="auto"/>
        <w:right w:val="single" w:sz="4" w:space="4" w:color="auto"/>
      </w:pBdr>
      <w:spacing w:before="60" w:after="60"/>
    </w:pPr>
    <w:rPr>
      <w:sz w:val="20"/>
    </w:rPr>
  </w:style>
  <w:style w:type="paragraph" w:customStyle="1" w:styleId="CellBody">
    <w:name w:val="CellBody"/>
    <w:basedOn w:val="Bodynoindent"/>
    <w:rsid w:val="00630B4F"/>
    <w:pPr>
      <w:ind w:left="144" w:hanging="144"/>
      <w:jc w:val="left"/>
    </w:pPr>
    <w:rPr>
      <w:rFonts w:ascii="Arial Narrow" w:hAnsi="Arial Narrow"/>
    </w:rPr>
  </w:style>
  <w:style w:type="paragraph" w:customStyle="1" w:styleId="CellHeading">
    <w:name w:val="CellHeading"/>
    <w:basedOn w:val="CellBody"/>
    <w:next w:val="CellBody"/>
    <w:rsid w:val="00630B4F"/>
    <w:pPr>
      <w:spacing w:before="120"/>
    </w:pPr>
    <w:rPr>
      <w:b/>
    </w:rPr>
  </w:style>
  <w:style w:type="paragraph" w:customStyle="1" w:styleId="FigNumber">
    <w:name w:val="Fig_Number"/>
    <w:basedOn w:val="H4"/>
    <w:next w:val="Bodynoindent"/>
    <w:rsid w:val="00630B4F"/>
    <w:pPr>
      <w:jc w:val="center"/>
    </w:pPr>
  </w:style>
  <w:style w:type="paragraph" w:customStyle="1" w:styleId="CT">
    <w:name w:val="CT"/>
    <w:basedOn w:val="Normal"/>
    <w:next w:val="CN"/>
    <w:rsid w:val="00630B4F"/>
    <w:pPr>
      <w:spacing w:before="240" w:after="240"/>
      <w:jc w:val="right"/>
    </w:pPr>
    <w:rPr>
      <w:rFonts w:ascii="Arial Narrow" w:hAnsi="Arial Narrow"/>
      <w:b/>
      <w:caps/>
      <w:sz w:val="56"/>
    </w:rPr>
  </w:style>
  <w:style w:type="paragraph" w:customStyle="1" w:styleId="CN">
    <w:name w:val="CN"/>
    <w:basedOn w:val="CT"/>
    <w:next w:val="H1"/>
    <w:rsid w:val="00630B4F"/>
    <w:rPr>
      <w:sz w:val="240"/>
    </w:rPr>
  </w:style>
  <w:style w:type="paragraph" w:customStyle="1" w:styleId="subalpha">
    <w:name w:val="sub_alpha"/>
    <w:basedOn w:val="Normal"/>
    <w:rsid w:val="00630B4F"/>
    <w:pPr>
      <w:numPr>
        <w:numId w:val="21"/>
      </w:numPr>
      <w:spacing w:after="60"/>
      <w:jc w:val="both"/>
    </w:pPr>
  </w:style>
  <w:style w:type="paragraph" w:customStyle="1" w:styleId="Example">
    <w:name w:val="Example"/>
    <w:basedOn w:val="H4"/>
    <w:next w:val="Bodynoindent"/>
    <w:rsid w:val="00630B4F"/>
    <w:rPr>
      <w:i w:val="0"/>
    </w:rPr>
  </w:style>
  <w:style w:type="paragraph" w:customStyle="1" w:styleId="subNL">
    <w:name w:val="sub_NL"/>
    <w:basedOn w:val="subalpha"/>
    <w:rsid w:val="00630B4F"/>
    <w:pPr>
      <w:numPr>
        <w:numId w:val="11"/>
      </w:numPr>
    </w:pPr>
  </w:style>
  <w:style w:type="paragraph" w:customStyle="1" w:styleId="NoteHead">
    <w:name w:val="Note_Head"/>
    <w:basedOn w:val="Note"/>
    <w:next w:val="NoteTitle"/>
    <w:rsid w:val="00630B4F"/>
    <w:pPr>
      <w:pBdr>
        <w:top w:val="single" w:sz="4" w:space="1" w:color="auto"/>
      </w:pBdr>
      <w:spacing w:after="0"/>
    </w:pPr>
    <w:rPr>
      <w:b/>
    </w:rPr>
  </w:style>
  <w:style w:type="paragraph" w:customStyle="1" w:styleId="subBL">
    <w:name w:val="sub_BL"/>
    <w:basedOn w:val="BL"/>
    <w:rsid w:val="00630B4F"/>
    <w:pPr>
      <w:numPr>
        <w:numId w:val="10"/>
      </w:numPr>
      <w:spacing w:before="40" w:after="40"/>
    </w:pPr>
  </w:style>
  <w:style w:type="paragraph" w:customStyle="1" w:styleId="Exampleend">
    <w:name w:val="Example_end"/>
    <w:basedOn w:val="Body"/>
    <w:next w:val="Body"/>
    <w:qFormat/>
    <w:rsid w:val="00630B4F"/>
    <w:pPr>
      <w:pBdr>
        <w:top w:val="single" w:sz="4" w:space="1" w:color="auto"/>
      </w:pBdr>
      <w:spacing w:before="120" w:line="240" w:lineRule="auto"/>
      <w:ind w:left="2880" w:right="2880" w:firstLine="0"/>
    </w:pPr>
  </w:style>
  <w:style w:type="character" w:styleId="PageNumber">
    <w:name w:val="page number"/>
    <w:basedOn w:val="DefaultParagraphFont"/>
    <w:rsid w:val="00630B4F"/>
  </w:style>
  <w:style w:type="paragraph" w:customStyle="1" w:styleId="UL">
    <w:name w:val="UL"/>
    <w:basedOn w:val="Bodynoindent"/>
    <w:rsid w:val="00630B4F"/>
    <w:pPr>
      <w:tabs>
        <w:tab w:val="left" w:pos="720"/>
        <w:tab w:val="left" w:pos="1080"/>
        <w:tab w:val="left" w:pos="1440"/>
        <w:tab w:val="left" w:pos="1800"/>
        <w:tab w:val="left" w:pos="2160"/>
      </w:tabs>
      <w:spacing w:after="60"/>
      <w:ind w:left="360"/>
      <w:jc w:val="left"/>
    </w:pPr>
  </w:style>
  <w:style w:type="paragraph" w:customStyle="1" w:styleId="ULfirst">
    <w:name w:val="UL_first"/>
    <w:basedOn w:val="UL"/>
    <w:next w:val="UL"/>
    <w:rsid w:val="00630B4F"/>
    <w:pPr>
      <w:spacing w:before="240"/>
    </w:pPr>
  </w:style>
  <w:style w:type="paragraph" w:customStyle="1" w:styleId="ULlast">
    <w:name w:val="UL_last"/>
    <w:basedOn w:val="UL"/>
    <w:next w:val="Body"/>
    <w:rsid w:val="00630B4F"/>
    <w:pPr>
      <w:spacing w:after="240"/>
    </w:pPr>
  </w:style>
  <w:style w:type="paragraph" w:customStyle="1" w:styleId="CellBodyfirst">
    <w:name w:val="CellBody_first"/>
    <w:basedOn w:val="CellBody"/>
    <w:next w:val="CellBody"/>
    <w:rsid w:val="00630B4F"/>
    <w:pPr>
      <w:spacing w:before="120"/>
    </w:pPr>
  </w:style>
  <w:style w:type="paragraph" w:customStyle="1" w:styleId="noteBL">
    <w:name w:val="note_BL"/>
    <w:basedOn w:val="Note"/>
    <w:rsid w:val="00630B4F"/>
    <w:pPr>
      <w:numPr>
        <w:numId w:val="18"/>
      </w:numPr>
      <w:pBdr>
        <w:left w:val="single" w:sz="4" w:space="22" w:color="auto"/>
      </w:pBdr>
      <w:spacing w:before="0" w:after="0"/>
    </w:pPr>
  </w:style>
  <w:style w:type="paragraph" w:customStyle="1" w:styleId="CellHeadingC">
    <w:name w:val="CellHeadingC"/>
    <w:basedOn w:val="CellHeading"/>
    <w:rsid w:val="00630B4F"/>
    <w:pPr>
      <w:ind w:left="0" w:firstLine="0"/>
      <w:jc w:val="center"/>
    </w:pPr>
  </w:style>
  <w:style w:type="paragraph" w:customStyle="1" w:styleId="CellHeadingR">
    <w:name w:val="CellHeadingR"/>
    <w:basedOn w:val="CellHeading"/>
    <w:rsid w:val="00630B4F"/>
    <w:pPr>
      <w:ind w:left="0" w:firstLine="0"/>
      <w:jc w:val="right"/>
    </w:pPr>
  </w:style>
  <w:style w:type="paragraph" w:customStyle="1" w:styleId="CellBodyCfirst">
    <w:name w:val="CellBodyC_first"/>
    <w:basedOn w:val="CellBodyfirst"/>
    <w:rsid w:val="00630B4F"/>
    <w:pPr>
      <w:ind w:left="0" w:firstLine="0"/>
      <w:jc w:val="center"/>
    </w:pPr>
  </w:style>
  <w:style w:type="paragraph" w:customStyle="1" w:styleId="CellBodyRfirst">
    <w:name w:val="CellBodyR_first"/>
    <w:basedOn w:val="CellBodyfirst"/>
    <w:rsid w:val="00630B4F"/>
    <w:pPr>
      <w:ind w:left="0" w:firstLine="0"/>
      <w:jc w:val="right"/>
    </w:pPr>
  </w:style>
  <w:style w:type="paragraph" w:customStyle="1" w:styleId="CellBodyC">
    <w:name w:val="CellBodyC"/>
    <w:basedOn w:val="CellBody"/>
    <w:rsid w:val="00630B4F"/>
    <w:pPr>
      <w:ind w:left="0" w:firstLine="0"/>
      <w:jc w:val="center"/>
    </w:pPr>
  </w:style>
  <w:style w:type="paragraph" w:customStyle="1" w:styleId="CellBodyR">
    <w:name w:val="CellBodyR"/>
    <w:basedOn w:val="CellBody"/>
    <w:rsid w:val="00630B4F"/>
    <w:pPr>
      <w:ind w:left="0" w:firstLine="0"/>
      <w:jc w:val="right"/>
    </w:pPr>
  </w:style>
  <w:style w:type="paragraph" w:customStyle="1" w:styleId="listcontinue">
    <w:name w:val="list_continue"/>
    <w:basedOn w:val="NL"/>
    <w:rsid w:val="00630B4F"/>
    <w:pPr>
      <w:numPr>
        <w:numId w:val="0"/>
      </w:numPr>
      <w:tabs>
        <w:tab w:val="left" w:pos="360"/>
      </w:tabs>
      <w:ind w:left="360"/>
    </w:pPr>
  </w:style>
  <w:style w:type="paragraph" w:customStyle="1" w:styleId="NLcontinue">
    <w:name w:val="NL_continue"/>
    <w:basedOn w:val="NL"/>
    <w:rsid w:val="00630B4F"/>
    <w:pPr>
      <w:numPr>
        <w:numId w:val="0"/>
      </w:numPr>
      <w:tabs>
        <w:tab w:val="left" w:pos="360"/>
      </w:tabs>
      <w:ind w:left="360"/>
    </w:pPr>
  </w:style>
  <w:style w:type="paragraph" w:customStyle="1" w:styleId="subcontinue">
    <w:name w:val="sub_continue"/>
    <w:basedOn w:val="subBL"/>
    <w:rsid w:val="00630B4F"/>
    <w:pPr>
      <w:numPr>
        <w:numId w:val="0"/>
      </w:numPr>
      <w:ind w:left="720"/>
    </w:pPr>
  </w:style>
  <w:style w:type="paragraph" w:customStyle="1" w:styleId="InlineFigure">
    <w:name w:val="InlineFigure"/>
    <w:basedOn w:val="Bodynoindent"/>
    <w:next w:val="Body"/>
    <w:rsid w:val="00630B4F"/>
    <w:pPr>
      <w:spacing w:before="120" w:after="120"/>
      <w:jc w:val="center"/>
    </w:pPr>
  </w:style>
  <w:style w:type="paragraph" w:customStyle="1" w:styleId="CellBodySubtotal">
    <w:name w:val="CellBodySubtotal"/>
    <w:basedOn w:val="CellBodyR"/>
    <w:rsid w:val="00630B4F"/>
    <w:rPr>
      <w:u w:val="single"/>
    </w:rPr>
  </w:style>
  <w:style w:type="paragraph" w:customStyle="1" w:styleId="CellBodyTotal">
    <w:name w:val="CellBodyTotal"/>
    <w:basedOn w:val="CellBodySubtotal"/>
    <w:rsid w:val="00630B4F"/>
    <w:rPr>
      <w:u w:val="double"/>
    </w:rPr>
  </w:style>
  <w:style w:type="paragraph" w:customStyle="1" w:styleId="H1Summary">
    <w:name w:val="H1_Summary"/>
    <w:basedOn w:val="TOCSummary"/>
    <w:next w:val="Bodynoindent"/>
    <w:rsid w:val="00630B4F"/>
    <w:pPr>
      <w:spacing w:after="120"/>
      <w:ind w:firstLine="0"/>
    </w:pPr>
    <w:rPr>
      <w:sz w:val="28"/>
    </w:rPr>
  </w:style>
  <w:style w:type="paragraph" w:customStyle="1" w:styleId="H5">
    <w:name w:val="H5"/>
    <w:basedOn w:val="H4"/>
    <w:next w:val="Bodynoindent"/>
    <w:rsid w:val="00630B4F"/>
    <w:rPr>
      <w:rFonts w:ascii="Times New Roman" w:hAnsi="Times New Roman"/>
      <w:i w:val="0"/>
      <w:sz w:val="22"/>
    </w:rPr>
  </w:style>
  <w:style w:type="paragraph" w:customStyle="1" w:styleId="HA">
    <w:name w:val="HA"/>
    <w:basedOn w:val="Example"/>
    <w:next w:val="Bodynoindent"/>
    <w:rsid w:val="00630B4F"/>
    <w:pPr>
      <w:spacing w:before="120" w:after="0"/>
    </w:pPr>
  </w:style>
  <w:style w:type="paragraph" w:customStyle="1" w:styleId="QT">
    <w:name w:val="QT"/>
    <w:basedOn w:val="Bodynoindent"/>
    <w:next w:val="HA"/>
    <w:rsid w:val="00630B4F"/>
  </w:style>
  <w:style w:type="paragraph" w:customStyle="1" w:styleId="HQ">
    <w:name w:val="HQ"/>
    <w:basedOn w:val="HA"/>
    <w:next w:val="QT"/>
    <w:rsid w:val="00630B4F"/>
  </w:style>
  <w:style w:type="paragraph" w:customStyle="1" w:styleId="NoteTitle">
    <w:name w:val="NoteTitle"/>
    <w:basedOn w:val="Note"/>
    <w:next w:val="Note"/>
    <w:rsid w:val="00630B4F"/>
    <w:rPr>
      <w:rFonts w:ascii="Arial" w:hAnsi="Arial"/>
    </w:rPr>
  </w:style>
  <w:style w:type="paragraph" w:customStyle="1" w:styleId="SBTextIndent">
    <w:name w:val="SBTextIndent"/>
    <w:basedOn w:val="Body"/>
    <w:rsid w:val="00630B4F"/>
    <w:pPr>
      <w:shd w:val="clear" w:color="auto" w:fill="CCCCCC"/>
      <w:ind w:left="2160" w:right="2160"/>
      <w:jc w:val="left"/>
    </w:pPr>
  </w:style>
  <w:style w:type="paragraph" w:customStyle="1" w:styleId="SBText">
    <w:name w:val="SBText"/>
    <w:basedOn w:val="Bodynoindent"/>
    <w:next w:val="SBTextIndent"/>
    <w:rsid w:val="00630B4F"/>
    <w:pPr>
      <w:shd w:val="clear" w:color="auto" w:fill="CCCCCC"/>
      <w:ind w:left="2160" w:right="2160"/>
      <w:jc w:val="left"/>
    </w:pPr>
  </w:style>
  <w:style w:type="paragraph" w:customStyle="1" w:styleId="SBH1">
    <w:name w:val="SBH1"/>
    <w:basedOn w:val="H4"/>
    <w:next w:val="SBText"/>
    <w:rsid w:val="00630B4F"/>
    <w:pPr>
      <w:shd w:val="clear" w:color="auto" w:fill="CCCCCC"/>
      <w:ind w:left="2160" w:right="2160"/>
    </w:pPr>
  </w:style>
  <w:style w:type="paragraph" w:customStyle="1" w:styleId="SBTitle">
    <w:name w:val="SBTitle"/>
    <w:basedOn w:val="H3"/>
    <w:next w:val="SBH1"/>
    <w:rsid w:val="00630B4F"/>
    <w:pPr>
      <w:shd w:val="clear" w:color="auto" w:fill="CCCCCC"/>
      <w:spacing w:before="120"/>
      <w:ind w:left="2160" w:right="2160"/>
    </w:pPr>
  </w:style>
  <w:style w:type="paragraph" w:customStyle="1" w:styleId="SBBL">
    <w:name w:val="SBBL"/>
    <w:basedOn w:val="BL"/>
    <w:rsid w:val="00630B4F"/>
    <w:pPr>
      <w:shd w:val="clear" w:color="auto" w:fill="CCCCCC"/>
      <w:ind w:left="2520" w:right="2160"/>
    </w:pPr>
  </w:style>
  <w:style w:type="paragraph" w:customStyle="1" w:styleId="LTO">
    <w:name w:val="LTO"/>
    <w:basedOn w:val="NoteTitle"/>
    <w:next w:val="Bodynoindent"/>
    <w:rsid w:val="00630B4F"/>
    <w:pPr>
      <w:pBdr>
        <w:top w:val="single" w:sz="4" w:space="4" w:color="auto"/>
        <w:bottom w:val="single" w:sz="4" w:space="4" w:color="auto"/>
      </w:pBdr>
    </w:pPr>
  </w:style>
  <w:style w:type="paragraph" w:customStyle="1" w:styleId="RandCStatute">
    <w:name w:val="RandCStatute"/>
    <w:basedOn w:val="Bodynoindent"/>
    <w:next w:val="LTO"/>
    <w:rsid w:val="00630B4F"/>
    <w:pPr>
      <w:spacing w:after="120"/>
    </w:pPr>
  </w:style>
  <w:style w:type="paragraph" w:customStyle="1" w:styleId="RandCHead">
    <w:name w:val="RandCHead"/>
    <w:basedOn w:val="H5"/>
    <w:next w:val="RandCStatute"/>
    <w:rsid w:val="00630B4F"/>
    <w:pPr>
      <w:spacing w:before="120" w:after="0"/>
    </w:pPr>
    <w:rPr>
      <w:rFonts w:ascii="Arial Narrow" w:hAnsi="Arial Narrow"/>
    </w:rPr>
  </w:style>
  <w:style w:type="paragraph" w:customStyle="1" w:styleId="TableFootnote">
    <w:name w:val="TableFootnote"/>
    <w:basedOn w:val="CellBody"/>
    <w:next w:val="Bodynoindent"/>
    <w:rsid w:val="00630B4F"/>
    <w:pPr>
      <w:pBdr>
        <w:top w:val="single" w:sz="4" w:space="1" w:color="auto"/>
        <w:bottom w:val="single" w:sz="12" w:space="1" w:color="auto"/>
      </w:pBdr>
      <w:spacing w:after="120"/>
    </w:pPr>
    <w:rPr>
      <w:sz w:val="20"/>
    </w:rPr>
  </w:style>
  <w:style w:type="paragraph" w:customStyle="1" w:styleId="BQindent">
    <w:name w:val="BQ_indent"/>
    <w:basedOn w:val="Body"/>
    <w:qFormat/>
    <w:rsid w:val="00630B4F"/>
    <w:pPr>
      <w:ind w:left="720" w:right="720"/>
    </w:pPr>
  </w:style>
  <w:style w:type="paragraph" w:customStyle="1" w:styleId="BQnoindent">
    <w:name w:val="BQ_no_indent"/>
    <w:basedOn w:val="BQindent"/>
    <w:qFormat/>
    <w:rsid w:val="00630B4F"/>
    <w:pPr>
      <w:ind w:firstLine="0"/>
    </w:pPr>
  </w:style>
  <w:style w:type="paragraph" w:customStyle="1" w:styleId="Noteend">
    <w:name w:val="Note_end"/>
    <w:basedOn w:val="Note"/>
    <w:next w:val="Bodynoindent"/>
    <w:qFormat/>
    <w:rsid w:val="00630B4F"/>
    <w:pPr>
      <w:pBdr>
        <w:bottom w:val="single" w:sz="4" w:space="1" w:color="auto"/>
      </w:pBdr>
    </w:pPr>
  </w:style>
  <w:style w:type="paragraph" w:customStyle="1" w:styleId="noteBLend">
    <w:name w:val="note_BL_end"/>
    <w:basedOn w:val="noteBL"/>
    <w:next w:val="Bodynoindent"/>
    <w:qFormat/>
    <w:rsid w:val="00630B4F"/>
    <w:pPr>
      <w:pBdr>
        <w:bottom w:val="single" w:sz="4" w:space="1" w:color="auto"/>
      </w:pBdr>
    </w:pPr>
  </w:style>
  <w:style w:type="paragraph" w:customStyle="1" w:styleId="NoteTitleend">
    <w:name w:val="NoteTitle_end"/>
    <w:basedOn w:val="NoteTitle"/>
    <w:next w:val="Bodynoindent"/>
    <w:qFormat/>
    <w:rsid w:val="00630B4F"/>
    <w:pPr>
      <w:pBdr>
        <w:bottom w:val="single" w:sz="4" w:space="1" w:color="auto"/>
      </w:pBdr>
    </w:pPr>
  </w:style>
  <w:style w:type="character" w:customStyle="1" w:styleId="SUL">
    <w:name w:val="SUL"/>
    <w:basedOn w:val="DefaultParagraphFont"/>
    <w:uiPriority w:val="1"/>
    <w:qFormat/>
    <w:rsid w:val="00630B4F"/>
    <w:rPr>
      <w:u w:val="single"/>
    </w:rPr>
  </w:style>
  <w:style w:type="character" w:customStyle="1" w:styleId="DUL">
    <w:name w:val="DUL"/>
    <w:basedOn w:val="SUL"/>
    <w:uiPriority w:val="1"/>
    <w:qFormat/>
    <w:rsid w:val="00630B4F"/>
    <w:rPr>
      <w:u w:val="double"/>
    </w:rPr>
  </w:style>
  <w:style w:type="paragraph" w:customStyle="1" w:styleId="Default">
    <w:name w:val="Default"/>
    <w:rsid w:val="002B7685"/>
    <w:pPr>
      <w:autoSpaceDE w:val="0"/>
      <w:autoSpaceDN w:val="0"/>
      <w:adjustRightInd w:val="0"/>
    </w:pPr>
    <w:rPr>
      <w:rFonts w:ascii="Frutiger 55 Roman" w:hAnsi="Frutiger 55 Roman" w:cs="Frutiger 55 Roman"/>
      <w:color w:val="000000"/>
    </w:rPr>
  </w:style>
  <w:style w:type="paragraph" w:customStyle="1" w:styleId="Pa5">
    <w:name w:val="Pa5"/>
    <w:basedOn w:val="Default"/>
    <w:next w:val="Default"/>
    <w:uiPriority w:val="99"/>
    <w:rsid w:val="002B7685"/>
    <w:pPr>
      <w:spacing w:line="201" w:lineRule="atLeast"/>
    </w:pPr>
    <w:rPr>
      <w:rFonts w:cs="Times New Roman"/>
      <w:color w:val="auto"/>
    </w:rPr>
  </w:style>
  <w:style w:type="character" w:customStyle="1" w:styleId="BodynoindentChar">
    <w:name w:val="Body_no_indent Char"/>
    <w:link w:val="Bodynoindent"/>
    <w:rsid w:val="00707C7D"/>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98984">
      <w:bodyDiv w:val="1"/>
      <w:marLeft w:val="0"/>
      <w:marRight w:val="0"/>
      <w:marTop w:val="0"/>
      <w:marBottom w:val="0"/>
      <w:divBdr>
        <w:top w:val="none" w:sz="0" w:space="0" w:color="auto"/>
        <w:left w:val="none" w:sz="0" w:space="0" w:color="auto"/>
        <w:bottom w:val="none" w:sz="0" w:space="0" w:color="auto"/>
        <w:right w:val="none" w:sz="0" w:space="0" w:color="auto"/>
      </w:divBdr>
    </w:div>
    <w:div w:id="1490247202">
      <w:bodyDiv w:val="1"/>
      <w:marLeft w:val="0"/>
      <w:marRight w:val="0"/>
      <w:marTop w:val="0"/>
      <w:marBottom w:val="0"/>
      <w:divBdr>
        <w:top w:val="none" w:sz="0" w:space="0" w:color="auto"/>
        <w:left w:val="none" w:sz="0" w:space="0" w:color="auto"/>
        <w:bottom w:val="none" w:sz="0" w:space="0" w:color="auto"/>
        <w:right w:val="none" w:sz="0" w:space="0" w:color="auto"/>
      </w:divBdr>
    </w:div>
    <w:div w:id="1734425120">
      <w:bodyDiv w:val="1"/>
      <w:marLeft w:val="0"/>
      <w:marRight w:val="0"/>
      <w:marTop w:val="0"/>
      <w:marBottom w:val="0"/>
      <w:divBdr>
        <w:top w:val="none" w:sz="0" w:space="0" w:color="auto"/>
        <w:left w:val="none" w:sz="0" w:space="0" w:color="auto"/>
        <w:bottom w:val="none" w:sz="0" w:space="0" w:color="auto"/>
        <w:right w:val="none" w:sz="0" w:space="0" w:color="auto"/>
      </w:divBdr>
      <w:divsChild>
        <w:div w:id="1478691179">
          <w:marLeft w:val="0"/>
          <w:marRight w:val="0"/>
          <w:marTop w:val="0"/>
          <w:marBottom w:val="0"/>
          <w:divBdr>
            <w:top w:val="none" w:sz="0" w:space="0" w:color="auto"/>
            <w:left w:val="none" w:sz="0" w:space="0" w:color="auto"/>
            <w:bottom w:val="none" w:sz="0" w:space="0" w:color="auto"/>
            <w:right w:val="none" w:sz="0" w:space="0" w:color="auto"/>
          </w:divBdr>
        </w:div>
        <w:div w:id="1488478912">
          <w:marLeft w:val="0"/>
          <w:marRight w:val="0"/>
          <w:marTop w:val="0"/>
          <w:marBottom w:val="0"/>
          <w:divBdr>
            <w:top w:val="none" w:sz="0" w:space="0" w:color="auto"/>
            <w:left w:val="none" w:sz="0" w:space="0" w:color="auto"/>
            <w:bottom w:val="none" w:sz="0" w:space="0" w:color="auto"/>
            <w:right w:val="none" w:sz="0" w:space="0" w:color="auto"/>
          </w:divBdr>
        </w:div>
        <w:div w:id="188495914">
          <w:marLeft w:val="0"/>
          <w:marRight w:val="0"/>
          <w:marTop w:val="0"/>
          <w:marBottom w:val="0"/>
          <w:divBdr>
            <w:top w:val="none" w:sz="0" w:space="0" w:color="auto"/>
            <w:left w:val="none" w:sz="0" w:space="0" w:color="auto"/>
            <w:bottom w:val="none" w:sz="0" w:space="0" w:color="auto"/>
            <w:right w:val="none" w:sz="0" w:space="0" w:color="auto"/>
          </w:divBdr>
        </w:div>
        <w:div w:id="898398062">
          <w:marLeft w:val="0"/>
          <w:marRight w:val="0"/>
          <w:marTop w:val="0"/>
          <w:marBottom w:val="0"/>
          <w:divBdr>
            <w:top w:val="none" w:sz="0" w:space="0" w:color="auto"/>
            <w:left w:val="none" w:sz="0" w:space="0" w:color="auto"/>
            <w:bottom w:val="none" w:sz="0" w:space="0" w:color="auto"/>
            <w:right w:val="none" w:sz="0" w:space="0" w:color="auto"/>
          </w:divBdr>
        </w:div>
        <w:div w:id="1493179311">
          <w:marLeft w:val="0"/>
          <w:marRight w:val="0"/>
          <w:marTop w:val="0"/>
          <w:marBottom w:val="0"/>
          <w:divBdr>
            <w:top w:val="none" w:sz="0" w:space="0" w:color="auto"/>
            <w:left w:val="none" w:sz="0" w:space="0" w:color="auto"/>
            <w:bottom w:val="none" w:sz="0" w:space="0" w:color="auto"/>
            <w:right w:val="none" w:sz="0" w:space="0" w:color="auto"/>
          </w:divBdr>
        </w:div>
        <w:div w:id="95247476">
          <w:marLeft w:val="0"/>
          <w:marRight w:val="0"/>
          <w:marTop w:val="0"/>
          <w:marBottom w:val="0"/>
          <w:divBdr>
            <w:top w:val="none" w:sz="0" w:space="0" w:color="auto"/>
            <w:left w:val="none" w:sz="0" w:space="0" w:color="auto"/>
            <w:bottom w:val="none" w:sz="0" w:space="0" w:color="auto"/>
            <w:right w:val="none" w:sz="0" w:space="0" w:color="auto"/>
          </w:divBdr>
        </w:div>
        <w:div w:id="1625773459">
          <w:marLeft w:val="0"/>
          <w:marRight w:val="0"/>
          <w:marTop w:val="0"/>
          <w:marBottom w:val="0"/>
          <w:divBdr>
            <w:top w:val="none" w:sz="0" w:space="0" w:color="auto"/>
            <w:left w:val="none" w:sz="0" w:space="0" w:color="auto"/>
            <w:bottom w:val="none" w:sz="0" w:space="0" w:color="auto"/>
            <w:right w:val="none" w:sz="0" w:space="0" w:color="auto"/>
          </w:divBdr>
        </w:div>
        <w:div w:id="265962078">
          <w:marLeft w:val="0"/>
          <w:marRight w:val="0"/>
          <w:marTop w:val="0"/>
          <w:marBottom w:val="0"/>
          <w:divBdr>
            <w:top w:val="none" w:sz="0" w:space="0" w:color="auto"/>
            <w:left w:val="none" w:sz="0" w:space="0" w:color="auto"/>
            <w:bottom w:val="none" w:sz="0" w:space="0" w:color="auto"/>
            <w:right w:val="none" w:sz="0" w:space="0" w:color="auto"/>
          </w:divBdr>
        </w:div>
        <w:div w:id="414790253">
          <w:marLeft w:val="0"/>
          <w:marRight w:val="0"/>
          <w:marTop w:val="0"/>
          <w:marBottom w:val="0"/>
          <w:divBdr>
            <w:top w:val="none" w:sz="0" w:space="0" w:color="auto"/>
            <w:left w:val="none" w:sz="0" w:space="0" w:color="auto"/>
            <w:bottom w:val="none" w:sz="0" w:space="0" w:color="auto"/>
            <w:right w:val="none" w:sz="0" w:space="0" w:color="auto"/>
          </w:divBdr>
        </w:div>
        <w:div w:id="594097475">
          <w:marLeft w:val="0"/>
          <w:marRight w:val="0"/>
          <w:marTop w:val="0"/>
          <w:marBottom w:val="0"/>
          <w:divBdr>
            <w:top w:val="none" w:sz="0" w:space="0" w:color="auto"/>
            <w:left w:val="none" w:sz="0" w:space="0" w:color="auto"/>
            <w:bottom w:val="none" w:sz="0" w:space="0" w:color="auto"/>
            <w:right w:val="none" w:sz="0" w:space="0" w:color="auto"/>
          </w:divBdr>
        </w:div>
        <w:div w:id="1442872418">
          <w:marLeft w:val="0"/>
          <w:marRight w:val="0"/>
          <w:marTop w:val="0"/>
          <w:marBottom w:val="0"/>
          <w:divBdr>
            <w:top w:val="none" w:sz="0" w:space="0" w:color="auto"/>
            <w:left w:val="none" w:sz="0" w:space="0" w:color="auto"/>
            <w:bottom w:val="none" w:sz="0" w:space="0" w:color="auto"/>
            <w:right w:val="none" w:sz="0" w:space="0" w:color="auto"/>
          </w:divBdr>
        </w:div>
        <w:div w:id="156606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ocuments\Editing\General%20Admin\Template\nit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69AB-FC14-4CD5-8C8E-BE66EB4E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C:\Users\lori\Documents\Editing\General Admin\Template\nitw.dotm</Template>
  <TotalTime>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dc:creator>
  <cp:lastModifiedBy>Austin Ryan</cp:lastModifiedBy>
  <cp:revision>2</cp:revision>
  <cp:lastPrinted>2015-02-26T16:03:00Z</cp:lastPrinted>
  <dcterms:created xsi:type="dcterms:W3CDTF">2023-05-18T18:08:00Z</dcterms:created>
  <dcterms:modified xsi:type="dcterms:W3CDTF">2023-05-18T18:08:00Z</dcterms:modified>
</cp:coreProperties>
</file>