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DF" w:rsidRDefault="00F438E3" w:rsidP="009B39DF">
      <w:pPr>
        <w:jc w:val="center"/>
        <w:rPr>
          <w:rFonts w:ascii="Times New Roman" w:hAnsi="Times New Roman" w:cs="Times New Roman"/>
          <w:sz w:val="28"/>
          <w:szCs w:val="28"/>
        </w:rPr>
      </w:pPr>
      <w:r w:rsidRPr="009B39DF">
        <w:rPr>
          <w:rFonts w:ascii="Times New Roman" w:hAnsi="Times New Roman" w:cs="Times New Roman"/>
          <w:sz w:val="28"/>
          <w:szCs w:val="28"/>
        </w:rPr>
        <w:t>Final Report to the University Senate</w:t>
      </w:r>
      <w:r w:rsidR="009B39DF" w:rsidRPr="009B39DF">
        <w:rPr>
          <w:rFonts w:ascii="Times New Roman" w:hAnsi="Times New Roman" w:cs="Times New Roman"/>
          <w:sz w:val="28"/>
          <w:szCs w:val="28"/>
        </w:rPr>
        <w:br/>
        <w:t>on an Evaluation of a</w:t>
      </w:r>
      <w:r w:rsidR="009B39DF" w:rsidRPr="009B39DF">
        <w:rPr>
          <w:rFonts w:ascii="Times New Roman" w:hAnsi="Times New Roman" w:cs="Times New Roman"/>
          <w:sz w:val="28"/>
          <w:szCs w:val="28"/>
        </w:rPr>
        <w:br/>
        <w:t>Proposed New University Budget Model</w:t>
      </w:r>
    </w:p>
    <w:p w:rsidR="009B39DF" w:rsidRDefault="009B39DF" w:rsidP="009B39DF">
      <w:pPr>
        <w:jc w:val="center"/>
        <w:rPr>
          <w:rFonts w:ascii="Times New Roman" w:hAnsi="Times New Roman" w:cs="Times New Roman"/>
          <w:sz w:val="28"/>
          <w:szCs w:val="28"/>
        </w:rPr>
      </w:pPr>
    </w:p>
    <w:p w:rsidR="009B39DF" w:rsidRDefault="009B39DF" w:rsidP="009B39DF">
      <w:pPr>
        <w:jc w:val="center"/>
        <w:rPr>
          <w:rFonts w:ascii="Times New Roman" w:hAnsi="Times New Roman" w:cs="Times New Roman"/>
          <w:sz w:val="28"/>
          <w:szCs w:val="28"/>
        </w:rPr>
      </w:pPr>
    </w:p>
    <w:p w:rsidR="009B39DF" w:rsidRDefault="009B39DF" w:rsidP="009B39DF">
      <w:pPr>
        <w:jc w:val="center"/>
        <w:rPr>
          <w:rFonts w:ascii="Times New Roman" w:hAnsi="Times New Roman" w:cs="Times New Roman"/>
          <w:sz w:val="28"/>
          <w:szCs w:val="28"/>
        </w:rPr>
      </w:pPr>
      <w:r>
        <w:rPr>
          <w:rFonts w:ascii="Times New Roman" w:hAnsi="Times New Roman" w:cs="Times New Roman"/>
          <w:sz w:val="28"/>
          <w:szCs w:val="28"/>
        </w:rPr>
        <w:t>Prepared by:</w:t>
      </w:r>
    </w:p>
    <w:p w:rsidR="002F06AD" w:rsidRDefault="009B39DF" w:rsidP="002F06AD">
      <w:pPr>
        <w:jc w:val="center"/>
        <w:rPr>
          <w:rFonts w:ascii="Times New Roman" w:hAnsi="Times New Roman" w:cs="Times New Roman"/>
          <w:sz w:val="28"/>
          <w:szCs w:val="28"/>
        </w:rPr>
      </w:pPr>
      <w:r>
        <w:rPr>
          <w:rFonts w:ascii="Times New Roman" w:hAnsi="Times New Roman" w:cs="Times New Roman"/>
          <w:sz w:val="28"/>
          <w:szCs w:val="28"/>
        </w:rPr>
        <w:t xml:space="preserve">The Ad Hoc Senate Committee on Strategic </w:t>
      </w:r>
      <w:r w:rsidR="006F759E">
        <w:rPr>
          <w:rFonts w:ascii="Times New Roman" w:hAnsi="Times New Roman" w:cs="Times New Roman"/>
          <w:sz w:val="28"/>
          <w:szCs w:val="28"/>
        </w:rPr>
        <w:t xml:space="preserve">Budgeting </w:t>
      </w:r>
      <w:r w:rsidR="002F06AD">
        <w:rPr>
          <w:rFonts w:ascii="Times New Roman" w:hAnsi="Times New Roman" w:cs="Times New Roman"/>
          <w:sz w:val="28"/>
          <w:szCs w:val="28"/>
        </w:rPr>
        <w:br/>
        <w:t>(AHSCSB)</w:t>
      </w:r>
    </w:p>
    <w:p w:rsidR="00DC2B15" w:rsidRDefault="00DC2B15" w:rsidP="009B39DF">
      <w:pPr>
        <w:jc w:val="center"/>
        <w:rPr>
          <w:rFonts w:ascii="Times New Roman" w:hAnsi="Times New Roman" w:cs="Times New Roman"/>
          <w:sz w:val="28"/>
          <w:szCs w:val="28"/>
        </w:rPr>
      </w:pPr>
    </w:p>
    <w:p w:rsidR="009B39DF" w:rsidRDefault="002C0E09" w:rsidP="00DC2B15">
      <w:pPr>
        <w:rPr>
          <w:rFonts w:ascii="Times New Roman" w:hAnsi="Times New Roman" w:cs="Times New Roman"/>
          <w:sz w:val="28"/>
          <w:szCs w:val="28"/>
        </w:rPr>
      </w:pPr>
      <w:r>
        <w:rPr>
          <w:rFonts w:ascii="Times New Roman" w:hAnsi="Times New Roman" w:cs="Times New Roman"/>
          <w:sz w:val="28"/>
          <w:szCs w:val="28"/>
        </w:rPr>
        <w:t xml:space="preserve">Committee </w:t>
      </w:r>
      <w:r w:rsidR="009B39DF">
        <w:rPr>
          <w:rFonts w:ascii="Times New Roman" w:hAnsi="Times New Roman" w:cs="Times New Roman"/>
          <w:sz w:val="28"/>
          <w:szCs w:val="28"/>
        </w:rPr>
        <w:t>Membership:</w:t>
      </w:r>
    </w:p>
    <w:p w:rsidR="009B39DF" w:rsidRDefault="00DC2B15" w:rsidP="00DC2B15">
      <w:pPr>
        <w:rPr>
          <w:rFonts w:ascii="Times New Roman" w:hAnsi="Times New Roman" w:cs="Times New Roman"/>
          <w:sz w:val="28"/>
          <w:szCs w:val="28"/>
        </w:rPr>
      </w:pPr>
      <w:r>
        <w:rPr>
          <w:rFonts w:ascii="Times New Roman" w:hAnsi="Times New Roman" w:cs="Times New Roman"/>
          <w:sz w:val="28"/>
          <w:szCs w:val="28"/>
        </w:rPr>
        <w:t>Olin Adams</w:t>
      </w:r>
      <w:r w:rsidR="002F06AD">
        <w:rPr>
          <w:rFonts w:ascii="Times New Roman" w:hAnsi="Times New Roman" w:cs="Times New Roman"/>
          <w:sz w:val="28"/>
          <w:szCs w:val="28"/>
        </w:rPr>
        <w:t xml:space="preserve"> – Associate Professor, College of Education</w:t>
      </w:r>
      <w:r>
        <w:rPr>
          <w:rFonts w:ascii="Times New Roman" w:hAnsi="Times New Roman" w:cs="Times New Roman"/>
          <w:sz w:val="28"/>
          <w:szCs w:val="28"/>
        </w:rPr>
        <w:br/>
        <w:t>Michael Baginski</w:t>
      </w:r>
      <w:r w:rsidR="002F06AD">
        <w:rPr>
          <w:rFonts w:ascii="Times New Roman" w:hAnsi="Times New Roman" w:cs="Times New Roman"/>
          <w:sz w:val="28"/>
          <w:szCs w:val="28"/>
        </w:rPr>
        <w:t xml:space="preserve"> – Associate Professor, College of Engineering</w:t>
      </w:r>
      <w:r>
        <w:rPr>
          <w:rFonts w:ascii="Times New Roman" w:hAnsi="Times New Roman" w:cs="Times New Roman"/>
          <w:sz w:val="28"/>
          <w:szCs w:val="28"/>
        </w:rPr>
        <w:br/>
        <w:t>Richard Burt</w:t>
      </w:r>
      <w:r w:rsidR="002F06AD">
        <w:rPr>
          <w:rFonts w:ascii="Times New Roman" w:hAnsi="Times New Roman" w:cs="Times New Roman"/>
          <w:sz w:val="28"/>
          <w:szCs w:val="28"/>
        </w:rPr>
        <w:t xml:space="preserve"> – Professor &amp; Head, School of Building Science</w:t>
      </w:r>
      <w:r>
        <w:rPr>
          <w:rFonts w:ascii="Times New Roman" w:hAnsi="Times New Roman" w:cs="Times New Roman"/>
          <w:sz w:val="28"/>
          <w:szCs w:val="28"/>
        </w:rPr>
        <w:br/>
        <w:t>Drew Clark</w:t>
      </w:r>
      <w:r w:rsidR="002F06AD">
        <w:rPr>
          <w:rFonts w:ascii="Times New Roman" w:hAnsi="Times New Roman" w:cs="Times New Roman"/>
          <w:sz w:val="28"/>
          <w:szCs w:val="28"/>
        </w:rPr>
        <w:t xml:space="preserve"> – Director, Institutional Research &amp; Assessment</w:t>
      </w:r>
      <w:r>
        <w:rPr>
          <w:rFonts w:ascii="Times New Roman" w:hAnsi="Times New Roman" w:cs="Times New Roman"/>
          <w:sz w:val="28"/>
          <w:szCs w:val="28"/>
        </w:rPr>
        <w:br/>
        <w:t>Randall Clark</w:t>
      </w:r>
      <w:r w:rsidR="002F06AD">
        <w:rPr>
          <w:rFonts w:ascii="Times New Roman" w:hAnsi="Times New Roman" w:cs="Times New Roman"/>
          <w:sz w:val="28"/>
          <w:szCs w:val="28"/>
        </w:rPr>
        <w:t xml:space="preserve"> – Professor, School of Pharmacy</w:t>
      </w:r>
      <w:r>
        <w:rPr>
          <w:rFonts w:ascii="Times New Roman" w:hAnsi="Times New Roman" w:cs="Times New Roman"/>
          <w:sz w:val="28"/>
          <w:szCs w:val="28"/>
        </w:rPr>
        <w:br/>
        <w:t>Royrickers Cook</w:t>
      </w:r>
      <w:r w:rsidR="004F73EF">
        <w:rPr>
          <w:rFonts w:ascii="Times New Roman" w:hAnsi="Times New Roman" w:cs="Times New Roman"/>
          <w:sz w:val="28"/>
          <w:szCs w:val="28"/>
        </w:rPr>
        <w:t xml:space="preserve"> – Assistant V.P. University Outreach</w:t>
      </w:r>
      <w:r>
        <w:rPr>
          <w:rFonts w:ascii="Times New Roman" w:hAnsi="Times New Roman" w:cs="Times New Roman"/>
          <w:sz w:val="28"/>
          <w:szCs w:val="28"/>
        </w:rPr>
        <w:br/>
        <w:t>Claire Crutchley</w:t>
      </w:r>
      <w:r w:rsidR="004F73EF">
        <w:rPr>
          <w:rFonts w:ascii="Times New Roman" w:hAnsi="Times New Roman" w:cs="Times New Roman"/>
          <w:sz w:val="28"/>
          <w:szCs w:val="28"/>
        </w:rPr>
        <w:t xml:space="preserve"> – Associate Professor, College of Business</w:t>
      </w:r>
      <w:r>
        <w:rPr>
          <w:rFonts w:ascii="Times New Roman" w:hAnsi="Times New Roman" w:cs="Times New Roman"/>
          <w:sz w:val="28"/>
          <w:szCs w:val="28"/>
        </w:rPr>
        <w:br/>
        <w:t>George Flowers</w:t>
      </w:r>
      <w:r w:rsidR="004F73EF">
        <w:rPr>
          <w:rFonts w:ascii="Times New Roman" w:hAnsi="Times New Roman" w:cs="Times New Roman"/>
          <w:sz w:val="28"/>
          <w:szCs w:val="28"/>
        </w:rPr>
        <w:t xml:space="preserve"> – Dean, Graduate School</w:t>
      </w:r>
      <w:r>
        <w:rPr>
          <w:rFonts w:ascii="Times New Roman" w:hAnsi="Times New Roman" w:cs="Times New Roman"/>
          <w:sz w:val="28"/>
          <w:szCs w:val="28"/>
        </w:rPr>
        <w:br/>
        <w:t>Constance Hendricks</w:t>
      </w:r>
      <w:r w:rsidR="004F73EF">
        <w:rPr>
          <w:rFonts w:ascii="Times New Roman" w:hAnsi="Times New Roman" w:cs="Times New Roman"/>
          <w:sz w:val="28"/>
          <w:szCs w:val="28"/>
        </w:rPr>
        <w:t xml:space="preserve"> </w:t>
      </w:r>
      <w:r w:rsidR="000461D4">
        <w:rPr>
          <w:rFonts w:ascii="Times New Roman" w:hAnsi="Times New Roman" w:cs="Times New Roman"/>
          <w:sz w:val="28"/>
          <w:szCs w:val="28"/>
        </w:rPr>
        <w:t>–</w:t>
      </w:r>
      <w:r w:rsidR="004F73EF">
        <w:rPr>
          <w:rFonts w:ascii="Times New Roman" w:hAnsi="Times New Roman" w:cs="Times New Roman"/>
          <w:sz w:val="28"/>
          <w:szCs w:val="28"/>
        </w:rPr>
        <w:t xml:space="preserve"> </w:t>
      </w:r>
      <w:r w:rsidR="000461D4">
        <w:rPr>
          <w:rFonts w:ascii="Times New Roman" w:hAnsi="Times New Roman" w:cs="Times New Roman"/>
          <w:sz w:val="28"/>
          <w:szCs w:val="28"/>
        </w:rPr>
        <w:t>Professor, School of Nursing</w:t>
      </w:r>
      <w:r>
        <w:rPr>
          <w:rFonts w:ascii="Times New Roman" w:hAnsi="Times New Roman" w:cs="Times New Roman"/>
          <w:sz w:val="28"/>
          <w:szCs w:val="28"/>
        </w:rPr>
        <w:br/>
        <w:t>Claudine Jenda</w:t>
      </w:r>
      <w:r w:rsidR="000461D4">
        <w:rPr>
          <w:rFonts w:ascii="Times New Roman" w:hAnsi="Times New Roman" w:cs="Times New Roman"/>
          <w:sz w:val="28"/>
          <w:szCs w:val="28"/>
        </w:rPr>
        <w:t xml:space="preserve"> – Librarian IV, Library</w:t>
      </w:r>
      <w:r>
        <w:rPr>
          <w:rFonts w:ascii="Times New Roman" w:hAnsi="Times New Roman" w:cs="Times New Roman"/>
          <w:sz w:val="28"/>
          <w:szCs w:val="28"/>
        </w:rPr>
        <w:br/>
        <w:t>Bernhard Kaltenboeck</w:t>
      </w:r>
      <w:r w:rsidR="000461D4">
        <w:rPr>
          <w:rFonts w:ascii="Times New Roman" w:hAnsi="Times New Roman" w:cs="Times New Roman"/>
          <w:sz w:val="28"/>
          <w:szCs w:val="28"/>
        </w:rPr>
        <w:t xml:space="preserve"> – Professor, College of Veterinary Medicine</w:t>
      </w:r>
      <w:r>
        <w:rPr>
          <w:rFonts w:ascii="Times New Roman" w:hAnsi="Times New Roman" w:cs="Times New Roman"/>
          <w:sz w:val="28"/>
          <w:szCs w:val="28"/>
        </w:rPr>
        <w:br/>
        <w:t>Zhanjiang Liu</w:t>
      </w:r>
      <w:r w:rsidR="000461D4">
        <w:rPr>
          <w:rFonts w:ascii="Times New Roman" w:hAnsi="Times New Roman" w:cs="Times New Roman"/>
          <w:sz w:val="28"/>
          <w:szCs w:val="28"/>
        </w:rPr>
        <w:t xml:space="preserve"> – Associate V.P. Research &amp; Associate Provost</w:t>
      </w:r>
      <w:r>
        <w:rPr>
          <w:rFonts w:ascii="Times New Roman" w:hAnsi="Times New Roman" w:cs="Times New Roman"/>
          <w:sz w:val="28"/>
          <w:szCs w:val="28"/>
        </w:rPr>
        <w:br/>
        <w:t>Robert Locy</w:t>
      </w:r>
      <w:r w:rsidR="000461D4">
        <w:rPr>
          <w:rFonts w:ascii="Times New Roman" w:hAnsi="Times New Roman" w:cs="Times New Roman"/>
          <w:sz w:val="28"/>
          <w:szCs w:val="28"/>
        </w:rPr>
        <w:t xml:space="preserve"> – Professor, College of Sciences and Mathematics</w:t>
      </w:r>
      <w:r>
        <w:rPr>
          <w:rFonts w:ascii="Times New Roman" w:hAnsi="Times New Roman" w:cs="Times New Roman"/>
          <w:sz w:val="28"/>
          <w:szCs w:val="28"/>
        </w:rPr>
        <w:br/>
        <w:t>James Prevatt</w:t>
      </w:r>
      <w:r w:rsidR="000461D4">
        <w:rPr>
          <w:rFonts w:ascii="Times New Roman" w:hAnsi="Times New Roman" w:cs="Times New Roman"/>
          <w:sz w:val="28"/>
          <w:szCs w:val="28"/>
        </w:rPr>
        <w:t xml:space="preserve"> – Extension Specialist Professor, College of Agriculture</w:t>
      </w:r>
      <w:r>
        <w:rPr>
          <w:rFonts w:ascii="Times New Roman" w:hAnsi="Times New Roman" w:cs="Times New Roman"/>
          <w:sz w:val="28"/>
          <w:szCs w:val="28"/>
        </w:rPr>
        <w:br/>
        <w:t>Marcie Smith</w:t>
      </w:r>
      <w:r w:rsidR="000461D4">
        <w:rPr>
          <w:rFonts w:ascii="Times New Roman" w:hAnsi="Times New Roman" w:cs="Times New Roman"/>
          <w:sz w:val="28"/>
          <w:szCs w:val="28"/>
        </w:rPr>
        <w:t xml:space="preserve"> – Senior Associate V.P. Business &amp; Finance</w:t>
      </w:r>
      <w:r>
        <w:rPr>
          <w:rFonts w:ascii="Times New Roman" w:hAnsi="Times New Roman" w:cs="Times New Roman"/>
          <w:sz w:val="28"/>
          <w:szCs w:val="28"/>
        </w:rPr>
        <w:br/>
        <w:t>Barb Struempler</w:t>
      </w:r>
      <w:r w:rsidR="000461D4">
        <w:rPr>
          <w:rFonts w:ascii="Times New Roman" w:hAnsi="Times New Roman" w:cs="Times New Roman"/>
          <w:sz w:val="28"/>
          <w:szCs w:val="28"/>
        </w:rPr>
        <w:t xml:space="preserve"> – </w:t>
      </w:r>
      <w:r w:rsidR="00C47E67">
        <w:rPr>
          <w:rFonts w:ascii="Times New Roman" w:hAnsi="Times New Roman" w:cs="Times New Roman"/>
          <w:sz w:val="28"/>
          <w:szCs w:val="28"/>
        </w:rPr>
        <w:t>Professor, College of Human Sciences</w:t>
      </w:r>
      <w:r w:rsidR="000461D4">
        <w:rPr>
          <w:rFonts w:ascii="Times New Roman" w:hAnsi="Times New Roman" w:cs="Times New Roman"/>
          <w:sz w:val="28"/>
          <w:szCs w:val="28"/>
        </w:rPr>
        <w:br/>
        <w:t>Larry Teeter – Professor, School of Forestry &amp; Wildlife Sciences,</w:t>
      </w:r>
      <w:r>
        <w:rPr>
          <w:rFonts w:ascii="Times New Roman" w:hAnsi="Times New Roman" w:cs="Times New Roman"/>
          <w:sz w:val="28"/>
          <w:szCs w:val="28"/>
        </w:rPr>
        <w:t xml:space="preserve"> Chair</w:t>
      </w:r>
      <w:r>
        <w:rPr>
          <w:rFonts w:ascii="Times New Roman" w:hAnsi="Times New Roman" w:cs="Times New Roman"/>
          <w:sz w:val="28"/>
          <w:szCs w:val="28"/>
        </w:rPr>
        <w:br/>
        <w:t>Joseph Vonasek</w:t>
      </w:r>
      <w:r w:rsidR="000461D4">
        <w:rPr>
          <w:rFonts w:ascii="Times New Roman" w:hAnsi="Times New Roman" w:cs="Times New Roman"/>
          <w:sz w:val="28"/>
          <w:szCs w:val="28"/>
        </w:rPr>
        <w:t xml:space="preserve"> – Assistant Professor, College of Liberal Arts</w:t>
      </w:r>
    </w:p>
    <w:p w:rsidR="00DC2B15" w:rsidRDefault="00DC2B15" w:rsidP="009B39DF">
      <w:pPr>
        <w:jc w:val="center"/>
        <w:rPr>
          <w:rFonts w:ascii="Times New Roman" w:hAnsi="Times New Roman" w:cs="Times New Roman"/>
          <w:sz w:val="28"/>
          <w:szCs w:val="28"/>
        </w:rPr>
      </w:pPr>
    </w:p>
    <w:p w:rsidR="00DC2B15" w:rsidRDefault="00DC2B15" w:rsidP="009B39DF">
      <w:pPr>
        <w:jc w:val="center"/>
        <w:rPr>
          <w:rFonts w:ascii="Times New Roman" w:hAnsi="Times New Roman" w:cs="Times New Roman"/>
          <w:sz w:val="28"/>
          <w:szCs w:val="28"/>
        </w:rPr>
      </w:pPr>
    </w:p>
    <w:p w:rsidR="00DC2B15" w:rsidRDefault="00DC2B15" w:rsidP="009B39DF">
      <w:pPr>
        <w:jc w:val="center"/>
        <w:rPr>
          <w:rFonts w:ascii="Times New Roman" w:hAnsi="Times New Roman" w:cs="Times New Roman"/>
          <w:sz w:val="28"/>
          <w:szCs w:val="28"/>
        </w:rPr>
      </w:pPr>
      <w:r>
        <w:rPr>
          <w:rFonts w:ascii="Times New Roman" w:hAnsi="Times New Roman" w:cs="Times New Roman"/>
          <w:sz w:val="28"/>
          <w:szCs w:val="28"/>
        </w:rPr>
        <w:t>March 31, 2015</w:t>
      </w:r>
    </w:p>
    <w:p w:rsidR="00DC2B15" w:rsidRDefault="00DC2B15">
      <w:pPr>
        <w:rPr>
          <w:rFonts w:ascii="Times New Roman" w:hAnsi="Times New Roman" w:cs="Times New Roman"/>
          <w:sz w:val="28"/>
          <w:szCs w:val="28"/>
        </w:rPr>
      </w:pPr>
      <w:r>
        <w:rPr>
          <w:rFonts w:ascii="Times New Roman" w:hAnsi="Times New Roman" w:cs="Times New Roman"/>
          <w:sz w:val="28"/>
          <w:szCs w:val="28"/>
        </w:rPr>
        <w:br w:type="page"/>
      </w:r>
    </w:p>
    <w:p w:rsidR="00F968B9" w:rsidRPr="009106FF" w:rsidRDefault="0058389F" w:rsidP="0058389F">
      <w:pPr>
        <w:rPr>
          <w:rFonts w:ascii="Times New Roman" w:hAnsi="Times New Roman" w:cs="Times New Roman"/>
          <w:sz w:val="26"/>
          <w:szCs w:val="26"/>
        </w:rPr>
      </w:pPr>
      <w:r w:rsidRPr="009106FF">
        <w:rPr>
          <w:rFonts w:ascii="Times New Roman" w:hAnsi="Times New Roman" w:cs="Times New Roman"/>
          <w:sz w:val="26"/>
          <w:szCs w:val="26"/>
        </w:rPr>
        <w:lastRenderedPageBreak/>
        <w:t xml:space="preserve">At a meeting of the Auburn University Senate on June 17, 2014 a resolution was approved to establish an ad hoc committee to </w:t>
      </w:r>
      <w:r w:rsidR="00F968B9" w:rsidRPr="009106FF">
        <w:rPr>
          <w:rFonts w:ascii="Times New Roman" w:hAnsi="Times New Roman" w:cs="Times New Roman"/>
          <w:sz w:val="26"/>
          <w:szCs w:val="26"/>
        </w:rPr>
        <w:t>review a new university strategic budgeting model and procedures surrounding its implementation.  Specifically, the Ad Hoc Senate Committee on Strategic Budgeting was charged to:</w:t>
      </w:r>
      <w:r w:rsidR="009106FF">
        <w:rPr>
          <w:rFonts w:ascii="Times New Roman" w:hAnsi="Times New Roman" w:cs="Times New Roman"/>
          <w:sz w:val="26"/>
          <w:szCs w:val="26"/>
        </w:rPr>
        <w:br/>
      </w:r>
    </w:p>
    <w:p w:rsidR="00DC2B15" w:rsidRPr="009106FF" w:rsidRDefault="00F968B9" w:rsidP="00F968B9">
      <w:pPr>
        <w:ind w:left="432" w:right="432"/>
        <w:jc w:val="both"/>
        <w:rPr>
          <w:rFonts w:ascii="Times New Roman" w:hAnsi="Times New Roman" w:cs="Times New Roman"/>
          <w:sz w:val="26"/>
          <w:szCs w:val="26"/>
        </w:rPr>
      </w:pPr>
      <w:r w:rsidRPr="009106FF">
        <w:rPr>
          <w:rFonts w:ascii="Times New Roman" w:hAnsi="Times New Roman" w:cs="Times New Roman"/>
          <w:sz w:val="26"/>
          <w:szCs w:val="26"/>
        </w:rPr>
        <w:t>…present a report to the University Senate by the end of March, 2015, with an analysis of the proposed budget model as well as of viable alternative budget models, if any, that will focus resources on institutional mission and priorities, along with its recommendations for the strategic budgeting initiative at Auburn University… (full text of the resolution is attached)</w:t>
      </w:r>
    </w:p>
    <w:p w:rsidR="00F968B9" w:rsidRPr="009106FF" w:rsidRDefault="00F968B9" w:rsidP="00F968B9">
      <w:pPr>
        <w:ind w:left="432" w:right="432"/>
        <w:jc w:val="both"/>
        <w:rPr>
          <w:rFonts w:ascii="Times New Roman" w:hAnsi="Times New Roman" w:cs="Times New Roman"/>
          <w:sz w:val="26"/>
          <w:szCs w:val="26"/>
        </w:rPr>
      </w:pPr>
    </w:p>
    <w:p w:rsidR="009106FF" w:rsidRDefault="00F968B9" w:rsidP="009106FF">
      <w:pPr>
        <w:rPr>
          <w:rFonts w:ascii="Times New Roman" w:hAnsi="Times New Roman" w:cs="Times New Roman"/>
          <w:sz w:val="26"/>
          <w:szCs w:val="26"/>
        </w:rPr>
      </w:pPr>
      <w:r w:rsidRPr="009106FF">
        <w:rPr>
          <w:rFonts w:ascii="Times New Roman" w:hAnsi="Times New Roman" w:cs="Times New Roman"/>
          <w:sz w:val="26"/>
          <w:szCs w:val="26"/>
        </w:rPr>
        <w:t>The Senate Rules Committee was charged with assembling the committee, including membership from each College and School</w:t>
      </w:r>
      <w:r w:rsidR="003F381F" w:rsidRPr="009106FF">
        <w:rPr>
          <w:rFonts w:ascii="Times New Roman" w:hAnsi="Times New Roman" w:cs="Times New Roman"/>
          <w:sz w:val="26"/>
          <w:szCs w:val="26"/>
        </w:rPr>
        <w:t xml:space="preserve">.  </w:t>
      </w:r>
      <w:r w:rsidR="00D05718" w:rsidRPr="009106FF">
        <w:rPr>
          <w:rFonts w:ascii="Times New Roman" w:hAnsi="Times New Roman" w:cs="Times New Roman"/>
          <w:sz w:val="26"/>
          <w:szCs w:val="26"/>
        </w:rPr>
        <w:t xml:space="preserve">Key </w:t>
      </w:r>
      <w:r w:rsidR="003F381F" w:rsidRPr="009106FF">
        <w:rPr>
          <w:rFonts w:ascii="Times New Roman" w:hAnsi="Times New Roman" w:cs="Times New Roman"/>
          <w:sz w:val="26"/>
          <w:szCs w:val="26"/>
        </w:rPr>
        <w:t>Administration representati</w:t>
      </w:r>
      <w:r w:rsidR="00D05718" w:rsidRPr="009106FF">
        <w:rPr>
          <w:rFonts w:ascii="Times New Roman" w:hAnsi="Times New Roman" w:cs="Times New Roman"/>
          <w:sz w:val="26"/>
          <w:szCs w:val="26"/>
        </w:rPr>
        <w:t>ves were invited to serve on the committee who could provide information as well as perspective for the faculty members</w:t>
      </w:r>
      <w:r w:rsidRPr="009106FF">
        <w:rPr>
          <w:rFonts w:ascii="Times New Roman" w:hAnsi="Times New Roman" w:cs="Times New Roman"/>
          <w:sz w:val="26"/>
          <w:szCs w:val="26"/>
        </w:rPr>
        <w:t xml:space="preserve"> </w:t>
      </w:r>
      <w:r w:rsidR="00D05718" w:rsidRPr="009106FF">
        <w:rPr>
          <w:rFonts w:ascii="Times New Roman" w:hAnsi="Times New Roman" w:cs="Times New Roman"/>
          <w:sz w:val="26"/>
          <w:szCs w:val="26"/>
        </w:rPr>
        <w:t>and included administrators</w:t>
      </w:r>
      <w:r w:rsidR="003F381F" w:rsidRPr="009106FF">
        <w:rPr>
          <w:rFonts w:ascii="Times New Roman" w:hAnsi="Times New Roman" w:cs="Times New Roman"/>
          <w:sz w:val="26"/>
          <w:szCs w:val="26"/>
        </w:rPr>
        <w:t xml:space="preserve"> representing research, outreach, the Graduate School and budget development services.  The committee as a whole met eight times</w:t>
      </w:r>
      <w:r w:rsidR="00E63CD7">
        <w:rPr>
          <w:rFonts w:ascii="Times New Roman" w:hAnsi="Times New Roman" w:cs="Times New Roman"/>
          <w:sz w:val="26"/>
          <w:szCs w:val="26"/>
        </w:rPr>
        <w:t>,</w:t>
      </w:r>
      <w:r w:rsidR="003F381F" w:rsidRPr="009106FF">
        <w:rPr>
          <w:rFonts w:ascii="Times New Roman" w:hAnsi="Times New Roman" w:cs="Times New Roman"/>
          <w:sz w:val="26"/>
          <w:szCs w:val="26"/>
        </w:rPr>
        <w:t xml:space="preserve"> beginning in late July</w:t>
      </w:r>
      <w:r w:rsidR="00E63CD7">
        <w:rPr>
          <w:rFonts w:ascii="Times New Roman" w:hAnsi="Times New Roman" w:cs="Times New Roman"/>
          <w:sz w:val="26"/>
          <w:szCs w:val="26"/>
        </w:rPr>
        <w:t>,</w:t>
      </w:r>
      <w:r w:rsidR="003F381F" w:rsidRPr="009106FF">
        <w:rPr>
          <w:rFonts w:ascii="Times New Roman" w:hAnsi="Times New Roman" w:cs="Times New Roman"/>
          <w:sz w:val="26"/>
          <w:szCs w:val="26"/>
        </w:rPr>
        <w:t xml:space="preserve"> with additional sub-committee meetings called as needed.  This report represents the culmination of our review based on what we understand about procedures that will be followed to implement the model in the future. </w:t>
      </w:r>
    </w:p>
    <w:p w:rsidR="00071059" w:rsidRDefault="00071059" w:rsidP="009106FF">
      <w:pPr>
        <w:rPr>
          <w:rFonts w:ascii="Times New Roman" w:hAnsi="Times New Roman" w:cs="Times New Roman"/>
          <w:sz w:val="26"/>
          <w:szCs w:val="26"/>
        </w:rPr>
      </w:pPr>
    </w:p>
    <w:p w:rsidR="00071059" w:rsidRDefault="00071059" w:rsidP="009106FF">
      <w:pPr>
        <w:rPr>
          <w:rFonts w:ascii="Times New Roman" w:hAnsi="Times New Roman" w:cs="Times New Roman"/>
          <w:sz w:val="26"/>
          <w:szCs w:val="26"/>
        </w:rPr>
      </w:pPr>
    </w:p>
    <w:p w:rsidR="00071059" w:rsidRPr="008113BA" w:rsidRDefault="00071059" w:rsidP="009106FF">
      <w:pPr>
        <w:rPr>
          <w:rFonts w:ascii="Times New Roman" w:hAnsi="Times New Roman" w:cs="Times New Roman"/>
          <w:sz w:val="26"/>
          <w:szCs w:val="26"/>
          <w:u w:val="single"/>
        </w:rPr>
      </w:pPr>
      <w:r w:rsidRPr="008113BA">
        <w:rPr>
          <w:rFonts w:ascii="Times New Roman" w:hAnsi="Times New Roman" w:cs="Times New Roman"/>
          <w:sz w:val="26"/>
          <w:szCs w:val="26"/>
          <w:u w:val="single"/>
        </w:rPr>
        <w:t>Acronyms</w:t>
      </w:r>
      <w:r w:rsidR="008113BA" w:rsidRPr="008113BA">
        <w:rPr>
          <w:rFonts w:ascii="Times New Roman" w:hAnsi="Times New Roman" w:cs="Times New Roman"/>
          <w:sz w:val="26"/>
          <w:szCs w:val="26"/>
          <w:u w:val="single"/>
        </w:rPr>
        <w:t xml:space="preserve"> Used in the Report</w:t>
      </w:r>
    </w:p>
    <w:p w:rsidR="00071059" w:rsidRDefault="00071059" w:rsidP="009106FF">
      <w:pPr>
        <w:rPr>
          <w:rFonts w:ascii="Times New Roman" w:hAnsi="Times New Roman" w:cs="Times New Roman"/>
          <w:sz w:val="26"/>
          <w:szCs w:val="26"/>
        </w:rPr>
      </w:pPr>
      <w:r>
        <w:rPr>
          <w:rFonts w:ascii="Times New Roman" w:hAnsi="Times New Roman" w:cs="Times New Roman"/>
          <w:sz w:val="26"/>
          <w:szCs w:val="26"/>
        </w:rPr>
        <w:t>RCM – Responsibility Center Management</w:t>
      </w:r>
    </w:p>
    <w:p w:rsidR="003617E3" w:rsidRDefault="003617E3" w:rsidP="009106FF">
      <w:pPr>
        <w:rPr>
          <w:rFonts w:ascii="Times New Roman" w:hAnsi="Times New Roman" w:cs="Times New Roman"/>
          <w:sz w:val="26"/>
          <w:szCs w:val="26"/>
        </w:rPr>
      </w:pPr>
      <w:r>
        <w:rPr>
          <w:rFonts w:ascii="Times New Roman" w:hAnsi="Times New Roman" w:cs="Times New Roman"/>
          <w:sz w:val="26"/>
          <w:szCs w:val="26"/>
        </w:rPr>
        <w:t>SCH – Student Credit Hour</w:t>
      </w:r>
    </w:p>
    <w:p w:rsidR="003617E3" w:rsidRDefault="008113BA" w:rsidP="009106FF">
      <w:pPr>
        <w:rPr>
          <w:rFonts w:ascii="Times New Roman" w:hAnsi="Times New Roman" w:cs="Times New Roman"/>
          <w:sz w:val="26"/>
          <w:szCs w:val="26"/>
        </w:rPr>
      </w:pPr>
      <w:r>
        <w:rPr>
          <w:rFonts w:ascii="Times New Roman" w:hAnsi="Times New Roman" w:cs="Times New Roman"/>
          <w:sz w:val="26"/>
          <w:szCs w:val="26"/>
        </w:rPr>
        <w:t>CSP - Central Support Pool or CSAP – Central Support Allocation Pool</w:t>
      </w:r>
    </w:p>
    <w:p w:rsidR="008113BA" w:rsidRDefault="008113BA" w:rsidP="009106FF">
      <w:pPr>
        <w:rPr>
          <w:rFonts w:ascii="Times New Roman" w:hAnsi="Times New Roman" w:cs="Times New Roman"/>
          <w:sz w:val="26"/>
          <w:szCs w:val="26"/>
        </w:rPr>
      </w:pPr>
      <w:r>
        <w:rPr>
          <w:rFonts w:ascii="Times New Roman" w:hAnsi="Times New Roman" w:cs="Times New Roman"/>
          <w:sz w:val="26"/>
          <w:szCs w:val="26"/>
        </w:rPr>
        <w:t>MEF – Mission Enhancement Fund</w:t>
      </w:r>
    </w:p>
    <w:p w:rsidR="008113BA" w:rsidRDefault="008113BA" w:rsidP="009106FF">
      <w:pPr>
        <w:rPr>
          <w:rFonts w:ascii="Times New Roman" w:hAnsi="Times New Roman" w:cs="Times New Roman"/>
          <w:sz w:val="26"/>
          <w:szCs w:val="26"/>
        </w:rPr>
      </w:pPr>
      <w:r>
        <w:rPr>
          <w:rFonts w:ascii="Times New Roman" w:hAnsi="Times New Roman" w:cs="Times New Roman"/>
          <w:sz w:val="26"/>
          <w:szCs w:val="26"/>
        </w:rPr>
        <w:t>PLS – Partial Least Squares</w:t>
      </w:r>
    </w:p>
    <w:p w:rsidR="008113BA" w:rsidRDefault="008113BA" w:rsidP="009106FF">
      <w:pPr>
        <w:rPr>
          <w:rFonts w:ascii="Times New Roman" w:hAnsi="Times New Roman" w:cs="Times New Roman"/>
          <w:sz w:val="26"/>
          <w:szCs w:val="26"/>
        </w:rPr>
      </w:pPr>
      <w:r>
        <w:rPr>
          <w:rFonts w:ascii="Times New Roman" w:hAnsi="Times New Roman" w:cs="Times New Roman"/>
          <w:sz w:val="26"/>
          <w:szCs w:val="26"/>
        </w:rPr>
        <w:t>OMB – Office of Management and Budget</w:t>
      </w:r>
    </w:p>
    <w:p w:rsidR="008113BA" w:rsidRDefault="008113BA" w:rsidP="009106FF">
      <w:pPr>
        <w:rPr>
          <w:rFonts w:ascii="Times New Roman" w:hAnsi="Times New Roman" w:cs="Times New Roman"/>
          <w:sz w:val="26"/>
          <w:szCs w:val="26"/>
        </w:rPr>
      </w:pPr>
      <w:r>
        <w:rPr>
          <w:rFonts w:ascii="Times New Roman" w:hAnsi="Times New Roman" w:cs="Times New Roman"/>
          <w:sz w:val="26"/>
          <w:szCs w:val="26"/>
        </w:rPr>
        <w:t>FTE – Full Time Equivalent</w:t>
      </w:r>
    </w:p>
    <w:p w:rsidR="00071059" w:rsidRDefault="00071059" w:rsidP="009106FF">
      <w:pPr>
        <w:rPr>
          <w:rFonts w:ascii="Times New Roman" w:hAnsi="Times New Roman" w:cs="Times New Roman"/>
          <w:sz w:val="26"/>
          <w:szCs w:val="26"/>
        </w:rPr>
      </w:pPr>
    </w:p>
    <w:p w:rsidR="00071059" w:rsidRDefault="009106FF">
      <w:pPr>
        <w:rPr>
          <w:rFonts w:ascii="Times New Roman" w:hAnsi="Times New Roman" w:cs="Times New Roman"/>
          <w:sz w:val="26"/>
          <w:szCs w:val="26"/>
        </w:rPr>
      </w:pPr>
      <w:r>
        <w:rPr>
          <w:rFonts w:ascii="Times New Roman" w:hAnsi="Times New Roman" w:cs="Times New Roman"/>
          <w:sz w:val="26"/>
          <w:szCs w:val="26"/>
        </w:rPr>
        <w:br w:type="page"/>
      </w:r>
    </w:p>
    <w:p w:rsidR="00F968B9" w:rsidRDefault="009106FF" w:rsidP="009106FF">
      <w:pPr>
        <w:rPr>
          <w:rFonts w:ascii="Times New Roman" w:hAnsi="Times New Roman" w:cs="Times New Roman"/>
          <w:b/>
          <w:sz w:val="26"/>
          <w:szCs w:val="26"/>
        </w:rPr>
      </w:pPr>
      <w:r w:rsidRPr="009106FF">
        <w:rPr>
          <w:rFonts w:ascii="Times New Roman" w:hAnsi="Times New Roman" w:cs="Times New Roman"/>
          <w:b/>
          <w:sz w:val="26"/>
          <w:szCs w:val="26"/>
        </w:rPr>
        <w:lastRenderedPageBreak/>
        <w:t>Background</w:t>
      </w:r>
    </w:p>
    <w:p w:rsidR="009106FF" w:rsidRDefault="009106FF" w:rsidP="009106FF">
      <w:pPr>
        <w:autoSpaceDE w:val="0"/>
        <w:autoSpaceDN w:val="0"/>
        <w:adjustRightInd w:val="0"/>
        <w:spacing w:after="0" w:line="240" w:lineRule="auto"/>
        <w:rPr>
          <w:rFonts w:ascii="Times New Roman" w:hAnsi="Times New Roman" w:cs="Times New Roman"/>
          <w:sz w:val="26"/>
          <w:szCs w:val="26"/>
        </w:rPr>
      </w:pPr>
      <w:r w:rsidRPr="009106FF">
        <w:rPr>
          <w:rFonts w:ascii="Times New Roman" w:hAnsi="Times New Roman" w:cs="Times New Roman"/>
          <w:sz w:val="26"/>
          <w:szCs w:val="26"/>
        </w:rPr>
        <w:t>The current budget process and model has a long h</w:t>
      </w:r>
      <w:r>
        <w:rPr>
          <w:rFonts w:ascii="Times New Roman" w:hAnsi="Times New Roman" w:cs="Times New Roman"/>
          <w:sz w:val="26"/>
          <w:szCs w:val="26"/>
        </w:rPr>
        <w:t xml:space="preserve">istory that spans many decades. </w:t>
      </w:r>
      <w:r w:rsidR="001E3D87">
        <w:rPr>
          <w:rFonts w:ascii="Times New Roman" w:hAnsi="Times New Roman" w:cs="Times New Roman"/>
          <w:sz w:val="26"/>
          <w:szCs w:val="26"/>
        </w:rPr>
        <w:t xml:space="preserve"> A</w:t>
      </w:r>
      <w:r w:rsidR="001E3D87" w:rsidRPr="001E3D87">
        <w:rPr>
          <w:rFonts w:ascii="Times New Roman" w:hAnsi="Times New Roman" w:cs="Times New Roman"/>
          <w:sz w:val="26"/>
          <w:szCs w:val="26"/>
        </w:rPr>
        <w:t>uburn</w:t>
      </w:r>
      <w:r w:rsidR="001E3D87">
        <w:rPr>
          <w:rFonts w:ascii="Times New Roman" w:hAnsi="Times New Roman" w:cs="Times New Roman"/>
          <w:sz w:val="26"/>
          <w:szCs w:val="26"/>
        </w:rPr>
        <w:t>’s</w:t>
      </w:r>
      <w:r w:rsidR="001E3D87" w:rsidRPr="001E3D87">
        <w:rPr>
          <w:rFonts w:ascii="Times New Roman" w:hAnsi="Times New Roman" w:cs="Times New Roman"/>
          <w:sz w:val="26"/>
          <w:szCs w:val="26"/>
        </w:rPr>
        <w:t xml:space="preserve"> current budget is made up of individual budgets for four divisions:  the Auburn University main campus</w:t>
      </w:r>
      <w:r w:rsidR="001E3D87">
        <w:rPr>
          <w:rFonts w:ascii="Times New Roman" w:hAnsi="Times New Roman" w:cs="Times New Roman"/>
          <w:sz w:val="26"/>
          <w:szCs w:val="26"/>
        </w:rPr>
        <w:t xml:space="preserve"> (Division 1)</w:t>
      </w:r>
      <w:r w:rsidR="001E3D87" w:rsidRPr="001E3D87">
        <w:rPr>
          <w:rFonts w:ascii="Times New Roman" w:hAnsi="Times New Roman" w:cs="Times New Roman"/>
          <w:sz w:val="26"/>
          <w:szCs w:val="26"/>
        </w:rPr>
        <w:t>, Auburn University at Montgomery (AUM</w:t>
      </w:r>
      <w:r w:rsidR="001E3D87">
        <w:rPr>
          <w:rFonts w:ascii="Times New Roman" w:hAnsi="Times New Roman" w:cs="Times New Roman"/>
          <w:sz w:val="26"/>
          <w:szCs w:val="26"/>
        </w:rPr>
        <w:t xml:space="preserve"> – Division 2</w:t>
      </w:r>
      <w:r w:rsidR="001E3D87" w:rsidRPr="001E3D87">
        <w:rPr>
          <w:rFonts w:ascii="Times New Roman" w:hAnsi="Times New Roman" w:cs="Times New Roman"/>
          <w:sz w:val="26"/>
          <w:szCs w:val="26"/>
        </w:rPr>
        <w:t>), Alabama Agricultural Experiment Station (AAES</w:t>
      </w:r>
      <w:r w:rsidR="001E3D87">
        <w:rPr>
          <w:rFonts w:ascii="Times New Roman" w:hAnsi="Times New Roman" w:cs="Times New Roman"/>
          <w:sz w:val="26"/>
          <w:szCs w:val="26"/>
        </w:rPr>
        <w:t xml:space="preserve"> – Division 3</w:t>
      </w:r>
      <w:r w:rsidR="001E3D87" w:rsidRPr="001E3D87">
        <w:rPr>
          <w:rFonts w:ascii="Times New Roman" w:hAnsi="Times New Roman" w:cs="Times New Roman"/>
          <w:sz w:val="26"/>
          <w:szCs w:val="26"/>
        </w:rPr>
        <w:t>) and the Alabama Cooperative Extension System (ACES</w:t>
      </w:r>
      <w:r w:rsidR="00D41701">
        <w:rPr>
          <w:rFonts w:ascii="Times New Roman" w:hAnsi="Times New Roman" w:cs="Times New Roman"/>
          <w:sz w:val="26"/>
          <w:szCs w:val="26"/>
        </w:rPr>
        <w:t xml:space="preserve"> – Division 4</w:t>
      </w:r>
      <w:r w:rsidR="001E3D87" w:rsidRPr="001E3D87">
        <w:rPr>
          <w:rFonts w:ascii="Times New Roman" w:hAnsi="Times New Roman" w:cs="Times New Roman"/>
          <w:sz w:val="26"/>
          <w:szCs w:val="26"/>
        </w:rPr>
        <w:t>).</w:t>
      </w:r>
      <w:r w:rsidR="00D41701">
        <w:rPr>
          <w:rFonts w:ascii="Times New Roman" w:hAnsi="Times New Roman" w:cs="Times New Roman"/>
          <w:sz w:val="26"/>
          <w:szCs w:val="26"/>
        </w:rPr>
        <w:t xml:space="preserve">  Division 1 funds primarily consist of </w:t>
      </w:r>
      <w:r w:rsidRPr="009106FF">
        <w:rPr>
          <w:rFonts w:ascii="Times New Roman" w:hAnsi="Times New Roman" w:cs="Times New Roman"/>
          <w:sz w:val="26"/>
          <w:szCs w:val="26"/>
        </w:rPr>
        <w:t>revenue</w:t>
      </w:r>
      <w:r w:rsidR="00D41701">
        <w:rPr>
          <w:rFonts w:ascii="Times New Roman" w:hAnsi="Times New Roman" w:cs="Times New Roman"/>
          <w:sz w:val="26"/>
          <w:szCs w:val="26"/>
        </w:rPr>
        <w:t>s</w:t>
      </w:r>
      <w:r w:rsidRPr="009106FF">
        <w:rPr>
          <w:rFonts w:ascii="Times New Roman" w:hAnsi="Times New Roman" w:cs="Times New Roman"/>
          <w:sz w:val="26"/>
          <w:szCs w:val="26"/>
        </w:rPr>
        <w:t xml:space="preserve"> from student tuition and</w:t>
      </w:r>
      <w:r>
        <w:rPr>
          <w:rFonts w:ascii="Times New Roman" w:hAnsi="Times New Roman" w:cs="Times New Roman"/>
          <w:sz w:val="26"/>
          <w:szCs w:val="26"/>
        </w:rPr>
        <w:t xml:space="preserve"> </w:t>
      </w:r>
      <w:r w:rsidRPr="009106FF">
        <w:rPr>
          <w:rFonts w:ascii="Times New Roman" w:hAnsi="Times New Roman" w:cs="Times New Roman"/>
          <w:sz w:val="26"/>
          <w:szCs w:val="26"/>
        </w:rPr>
        <w:t xml:space="preserve">state appropriations. </w:t>
      </w:r>
      <w:r w:rsidR="00D41701">
        <w:rPr>
          <w:rFonts w:ascii="Times New Roman" w:hAnsi="Times New Roman" w:cs="Times New Roman"/>
          <w:sz w:val="26"/>
          <w:szCs w:val="26"/>
        </w:rPr>
        <w:t xml:space="preserve"> Historically (and currently) funds are allocated from these pooled Division 1 funds to the Colleges, Schools, Departments and other operating units based on previous </w:t>
      </w:r>
      <w:r w:rsidRPr="009106FF">
        <w:rPr>
          <w:rFonts w:ascii="Times New Roman" w:hAnsi="Times New Roman" w:cs="Times New Roman"/>
          <w:sz w:val="26"/>
          <w:szCs w:val="26"/>
        </w:rPr>
        <w:t>allocations</w:t>
      </w:r>
      <w:r w:rsidR="00FF6E81">
        <w:rPr>
          <w:rFonts w:ascii="Times New Roman" w:hAnsi="Times New Roman" w:cs="Times New Roman"/>
          <w:sz w:val="26"/>
          <w:szCs w:val="26"/>
        </w:rPr>
        <w:t xml:space="preserve"> and precedents</w:t>
      </w:r>
      <w:r w:rsidR="00D41701">
        <w:rPr>
          <w:rFonts w:ascii="Times New Roman" w:hAnsi="Times New Roman" w:cs="Times New Roman"/>
          <w:sz w:val="26"/>
          <w:szCs w:val="26"/>
        </w:rPr>
        <w:t>.</w:t>
      </w:r>
      <w:r w:rsidR="001C57BE">
        <w:rPr>
          <w:rFonts w:ascii="Times New Roman" w:hAnsi="Times New Roman" w:cs="Times New Roman"/>
          <w:sz w:val="26"/>
          <w:szCs w:val="26"/>
        </w:rPr>
        <w:t xml:space="preserve">  A </w:t>
      </w:r>
      <w:r w:rsidR="00D41701">
        <w:rPr>
          <w:rFonts w:ascii="Times New Roman" w:hAnsi="Times New Roman" w:cs="Times New Roman"/>
          <w:sz w:val="26"/>
          <w:szCs w:val="26"/>
        </w:rPr>
        <w:t xml:space="preserve">campus </w:t>
      </w:r>
      <w:r w:rsidR="001C57BE">
        <w:rPr>
          <w:rFonts w:ascii="Times New Roman" w:hAnsi="Times New Roman" w:cs="Times New Roman"/>
          <w:sz w:val="26"/>
          <w:szCs w:val="26"/>
        </w:rPr>
        <w:t>culture of adjusting eac</w:t>
      </w:r>
      <w:r w:rsidR="00FF6E81">
        <w:rPr>
          <w:rFonts w:ascii="Times New Roman" w:hAnsi="Times New Roman" w:cs="Times New Roman"/>
          <w:sz w:val="26"/>
          <w:szCs w:val="26"/>
        </w:rPr>
        <w:t>h unit’s budget up or down year-after-</w:t>
      </w:r>
      <w:r w:rsidR="001C57BE">
        <w:rPr>
          <w:rFonts w:ascii="Times New Roman" w:hAnsi="Times New Roman" w:cs="Times New Roman"/>
          <w:sz w:val="26"/>
          <w:szCs w:val="26"/>
        </w:rPr>
        <w:t xml:space="preserve">year according to </w:t>
      </w:r>
      <w:r w:rsidR="00D41701">
        <w:rPr>
          <w:rFonts w:ascii="Times New Roman" w:hAnsi="Times New Roman" w:cs="Times New Roman"/>
          <w:sz w:val="26"/>
          <w:szCs w:val="26"/>
        </w:rPr>
        <w:t xml:space="preserve">increases or decreases </w:t>
      </w:r>
      <w:r w:rsidR="001C57BE">
        <w:rPr>
          <w:rFonts w:ascii="Times New Roman" w:hAnsi="Times New Roman" w:cs="Times New Roman"/>
          <w:sz w:val="26"/>
          <w:szCs w:val="26"/>
        </w:rPr>
        <w:t xml:space="preserve">in the Division 1 pool has resulted in a situation that provides very little flexibility </w:t>
      </w:r>
      <w:r w:rsidR="00221FD9">
        <w:rPr>
          <w:rFonts w:ascii="Times New Roman" w:hAnsi="Times New Roman" w:cs="Times New Roman"/>
          <w:sz w:val="26"/>
          <w:szCs w:val="26"/>
        </w:rPr>
        <w:t xml:space="preserve">(according to the Provost’s office) </w:t>
      </w:r>
      <w:r w:rsidR="001C57BE">
        <w:rPr>
          <w:rFonts w:ascii="Times New Roman" w:hAnsi="Times New Roman" w:cs="Times New Roman"/>
          <w:sz w:val="26"/>
          <w:szCs w:val="26"/>
        </w:rPr>
        <w:t xml:space="preserve">to respond to changes in enrollment </w:t>
      </w:r>
      <w:r w:rsidR="00221FD9">
        <w:rPr>
          <w:rFonts w:ascii="Times New Roman" w:hAnsi="Times New Roman" w:cs="Times New Roman"/>
          <w:sz w:val="26"/>
          <w:szCs w:val="26"/>
        </w:rPr>
        <w:t xml:space="preserve">trends </w:t>
      </w:r>
      <w:r w:rsidR="001C57BE">
        <w:rPr>
          <w:rFonts w:ascii="Times New Roman" w:hAnsi="Times New Roman" w:cs="Times New Roman"/>
          <w:sz w:val="26"/>
          <w:szCs w:val="26"/>
        </w:rPr>
        <w:t xml:space="preserve">and </w:t>
      </w:r>
      <w:r w:rsidR="00221FD9">
        <w:rPr>
          <w:rFonts w:ascii="Times New Roman" w:hAnsi="Times New Roman" w:cs="Times New Roman"/>
          <w:sz w:val="26"/>
          <w:szCs w:val="26"/>
        </w:rPr>
        <w:t xml:space="preserve">new programmatic </w:t>
      </w:r>
      <w:r w:rsidR="001C57BE">
        <w:rPr>
          <w:rFonts w:ascii="Times New Roman" w:hAnsi="Times New Roman" w:cs="Times New Roman"/>
          <w:sz w:val="26"/>
          <w:szCs w:val="26"/>
        </w:rPr>
        <w:t>education opportunities</w:t>
      </w:r>
      <w:r w:rsidR="00221FD9">
        <w:rPr>
          <w:rFonts w:ascii="Times New Roman" w:hAnsi="Times New Roman" w:cs="Times New Roman"/>
          <w:sz w:val="26"/>
          <w:szCs w:val="26"/>
        </w:rPr>
        <w:t>.</w:t>
      </w:r>
    </w:p>
    <w:p w:rsidR="009106FF" w:rsidRPr="009106FF" w:rsidRDefault="009106FF" w:rsidP="009106FF">
      <w:pPr>
        <w:autoSpaceDE w:val="0"/>
        <w:autoSpaceDN w:val="0"/>
        <w:adjustRightInd w:val="0"/>
        <w:spacing w:after="0" w:line="240" w:lineRule="auto"/>
        <w:rPr>
          <w:rFonts w:ascii="Times New Roman" w:hAnsi="Times New Roman" w:cs="Times New Roman"/>
          <w:sz w:val="26"/>
          <w:szCs w:val="26"/>
        </w:rPr>
      </w:pPr>
    </w:p>
    <w:p w:rsidR="009106FF" w:rsidRDefault="009106FF" w:rsidP="009106FF">
      <w:pPr>
        <w:autoSpaceDE w:val="0"/>
        <w:autoSpaceDN w:val="0"/>
        <w:adjustRightInd w:val="0"/>
        <w:spacing w:after="0" w:line="240" w:lineRule="auto"/>
        <w:rPr>
          <w:rFonts w:ascii="Times New Roman" w:hAnsi="Times New Roman" w:cs="Times New Roman"/>
          <w:sz w:val="26"/>
          <w:szCs w:val="26"/>
        </w:rPr>
      </w:pPr>
      <w:r w:rsidRPr="009106FF">
        <w:rPr>
          <w:rFonts w:ascii="Times New Roman" w:hAnsi="Times New Roman" w:cs="Times New Roman"/>
          <w:sz w:val="26"/>
          <w:szCs w:val="26"/>
        </w:rPr>
        <w:t xml:space="preserve">The </w:t>
      </w:r>
      <w:r w:rsidR="00D41701">
        <w:rPr>
          <w:rFonts w:ascii="Times New Roman" w:hAnsi="Times New Roman" w:cs="Times New Roman"/>
          <w:sz w:val="26"/>
          <w:szCs w:val="26"/>
        </w:rPr>
        <w:t xml:space="preserve">Division 1 </w:t>
      </w:r>
      <w:r w:rsidRPr="009106FF">
        <w:rPr>
          <w:rFonts w:ascii="Times New Roman" w:hAnsi="Times New Roman" w:cs="Times New Roman"/>
          <w:sz w:val="26"/>
          <w:szCs w:val="26"/>
        </w:rPr>
        <w:t>pool contains unrestricted and restricted funds. Unrestricted funds are the base and soft</w:t>
      </w:r>
      <w:r>
        <w:rPr>
          <w:rFonts w:ascii="Times New Roman" w:hAnsi="Times New Roman" w:cs="Times New Roman"/>
          <w:sz w:val="26"/>
          <w:szCs w:val="26"/>
        </w:rPr>
        <w:t xml:space="preserve"> </w:t>
      </w:r>
      <w:r w:rsidR="00FF6E81">
        <w:rPr>
          <w:rFonts w:ascii="Times New Roman" w:hAnsi="Times New Roman" w:cs="Times New Roman"/>
          <w:sz w:val="26"/>
          <w:szCs w:val="26"/>
        </w:rPr>
        <w:t>funds from tuition and</w:t>
      </w:r>
      <w:r w:rsidRPr="009106FF">
        <w:rPr>
          <w:rFonts w:ascii="Times New Roman" w:hAnsi="Times New Roman" w:cs="Times New Roman"/>
          <w:sz w:val="26"/>
          <w:szCs w:val="26"/>
        </w:rPr>
        <w:t xml:space="preserve"> state appropriations </w:t>
      </w:r>
      <w:r w:rsidR="00FF6E81">
        <w:rPr>
          <w:rFonts w:ascii="Times New Roman" w:hAnsi="Times New Roman" w:cs="Times New Roman"/>
          <w:sz w:val="26"/>
          <w:szCs w:val="26"/>
        </w:rPr>
        <w:t>and also include</w:t>
      </w:r>
      <w:r w:rsidR="00C94609">
        <w:rPr>
          <w:rFonts w:ascii="Times New Roman" w:hAnsi="Times New Roman" w:cs="Times New Roman"/>
          <w:sz w:val="26"/>
          <w:szCs w:val="26"/>
        </w:rPr>
        <w:t xml:space="preserve"> </w:t>
      </w:r>
      <w:r w:rsidRPr="009106FF">
        <w:rPr>
          <w:rFonts w:ascii="Times New Roman" w:hAnsi="Times New Roman" w:cs="Times New Roman"/>
          <w:sz w:val="26"/>
          <w:szCs w:val="26"/>
        </w:rPr>
        <w:t>professional fees, clinic fees, distance</w:t>
      </w:r>
      <w:r>
        <w:rPr>
          <w:rFonts w:ascii="Times New Roman" w:hAnsi="Times New Roman" w:cs="Times New Roman"/>
          <w:sz w:val="26"/>
          <w:szCs w:val="26"/>
        </w:rPr>
        <w:t xml:space="preserve"> </w:t>
      </w:r>
      <w:r w:rsidRPr="009106FF">
        <w:rPr>
          <w:rFonts w:ascii="Times New Roman" w:hAnsi="Times New Roman" w:cs="Times New Roman"/>
          <w:sz w:val="26"/>
          <w:szCs w:val="26"/>
        </w:rPr>
        <w:t xml:space="preserve">education and study abroad fees that a unit generates. </w:t>
      </w:r>
      <w:r w:rsidR="001B0404">
        <w:rPr>
          <w:rFonts w:ascii="Times New Roman" w:hAnsi="Times New Roman" w:cs="Times New Roman"/>
          <w:sz w:val="26"/>
          <w:szCs w:val="26"/>
        </w:rPr>
        <w:t xml:space="preserve">Base funds are generally allocated centrally through the budget process on an historical and incremental basis.  Unrestricted soft funds are directly allocated to the generating unit.  </w:t>
      </w:r>
      <w:r w:rsidRPr="009106FF">
        <w:rPr>
          <w:rFonts w:ascii="Times New Roman" w:hAnsi="Times New Roman" w:cs="Times New Roman"/>
          <w:sz w:val="26"/>
          <w:szCs w:val="26"/>
        </w:rPr>
        <w:t xml:space="preserve">Restricted funds </w:t>
      </w:r>
      <w:r w:rsidR="001B0404" w:rsidRPr="009106FF">
        <w:rPr>
          <w:rFonts w:ascii="Times New Roman" w:hAnsi="Times New Roman" w:cs="Times New Roman"/>
          <w:sz w:val="26"/>
          <w:szCs w:val="26"/>
        </w:rPr>
        <w:t>typically come from</w:t>
      </w:r>
      <w:r w:rsidR="001B0404">
        <w:rPr>
          <w:rFonts w:ascii="Times New Roman" w:hAnsi="Times New Roman" w:cs="Times New Roman"/>
          <w:sz w:val="26"/>
          <w:szCs w:val="26"/>
        </w:rPr>
        <w:t xml:space="preserve"> </w:t>
      </w:r>
      <w:r w:rsidR="001B0404" w:rsidRPr="009106FF">
        <w:rPr>
          <w:rFonts w:ascii="Times New Roman" w:hAnsi="Times New Roman" w:cs="Times New Roman"/>
          <w:sz w:val="26"/>
          <w:szCs w:val="26"/>
        </w:rPr>
        <w:t>gifts,</w:t>
      </w:r>
      <w:r w:rsidR="001B0404">
        <w:rPr>
          <w:rFonts w:ascii="Times New Roman" w:hAnsi="Times New Roman" w:cs="Times New Roman"/>
          <w:sz w:val="26"/>
          <w:szCs w:val="26"/>
        </w:rPr>
        <w:t xml:space="preserve"> grants, and endowment earnings and always come with restrictions on how they are used.  Restricted funds</w:t>
      </w:r>
      <w:r w:rsidR="001B0404" w:rsidRPr="009106FF">
        <w:rPr>
          <w:rFonts w:ascii="Times New Roman" w:hAnsi="Times New Roman" w:cs="Times New Roman"/>
          <w:sz w:val="26"/>
          <w:szCs w:val="26"/>
        </w:rPr>
        <w:t xml:space="preserve"> </w:t>
      </w:r>
      <w:r w:rsidRPr="009106FF">
        <w:rPr>
          <w:rFonts w:ascii="Times New Roman" w:hAnsi="Times New Roman" w:cs="Times New Roman"/>
          <w:sz w:val="26"/>
          <w:szCs w:val="26"/>
        </w:rPr>
        <w:t xml:space="preserve">are allocated directly to </w:t>
      </w:r>
      <w:r w:rsidR="001B0404">
        <w:rPr>
          <w:rFonts w:ascii="Times New Roman" w:hAnsi="Times New Roman" w:cs="Times New Roman"/>
          <w:sz w:val="26"/>
          <w:szCs w:val="26"/>
        </w:rPr>
        <w:t xml:space="preserve">the benefitting </w:t>
      </w:r>
      <w:r w:rsidRPr="009106FF">
        <w:rPr>
          <w:rFonts w:ascii="Times New Roman" w:hAnsi="Times New Roman" w:cs="Times New Roman"/>
          <w:sz w:val="26"/>
          <w:szCs w:val="26"/>
        </w:rPr>
        <w:t>unit.</w:t>
      </w:r>
    </w:p>
    <w:p w:rsidR="006A0EF2" w:rsidRDefault="006A0EF2" w:rsidP="009106FF">
      <w:pPr>
        <w:autoSpaceDE w:val="0"/>
        <w:autoSpaceDN w:val="0"/>
        <w:adjustRightInd w:val="0"/>
        <w:spacing w:after="0" w:line="240" w:lineRule="auto"/>
        <w:rPr>
          <w:rFonts w:ascii="Times New Roman" w:hAnsi="Times New Roman" w:cs="Times New Roman"/>
          <w:sz w:val="26"/>
          <w:szCs w:val="26"/>
        </w:rPr>
      </w:pPr>
    </w:p>
    <w:p w:rsidR="006A0EF2" w:rsidRPr="006A0EF2" w:rsidRDefault="006A0EF2" w:rsidP="006A0EF2">
      <w:pPr>
        <w:rPr>
          <w:rFonts w:ascii="Times New Roman" w:hAnsi="Times New Roman" w:cs="Times New Roman"/>
          <w:b/>
          <w:sz w:val="26"/>
          <w:szCs w:val="26"/>
        </w:rPr>
      </w:pPr>
      <w:r w:rsidRPr="006A0EF2">
        <w:rPr>
          <w:rFonts w:ascii="Times New Roman" w:hAnsi="Times New Roman" w:cs="Times New Roman"/>
          <w:b/>
          <w:sz w:val="26"/>
          <w:szCs w:val="26"/>
        </w:rPr>
        <w:t>Shortcomings of the Current Budget Process and Model</w:t>
      </w:r>
    </w:p>
    <w:p w:rsidR="006A0EF2" w:rsidRDefault="006A0EF2" w:rsidP="006A0EF2">
      <w:pPr>
        <w:rPr>
          <w:rFonts w:ascii="Times New Roman" w:hAnsi="Times New Roman" w:cs="Times New Roman"/>
          <w:sz w:val="26"/>
          <w:szCs w:val="26"/>
        </w:rPr>
      </w:pPr>
      <w:r w:rsidRPr="006A0EF2">
        <w:rPr>
          <w:rFonts w:ascii="Times New Roman" w:hAnsi="Times New Roman" w:cs="Times New Roman"/>
          <w:sz w:val="26"/>
          <w:szCs w:val="26"/>
        </w:rPr>
        <w:t>I</w:t>
      </w:r>
      <w:r w:rsidR="009F1C5E">
        <w:rPr>
          <w:rFonts w:ascii="Times New Roman" w:hAnsi="Times New Roman" w:cs="Times New Roman"/>
          <w:sz w:val="26"/>
          <w:szCs w:val="26"/>
        </w:rPr>
        <w:t xml:space="preserve">n the current budget model, </w:t>
      </w:r>
      <w:r w:rsidRPr="006A0EF2">
        <w:rPr>
          <w:rFonts w:ascii="Times New Roman" w:hAnsi="Times New Roman" w:cs="Times New Roman"/>
          <w:sz w:val="26"/>
          <w:szCs w:val="26"/>
        </w:rPr>
        <w:t xml:space="preserve">funds are controlled centrally.  There is a special focus on simply managing and controlling expenses.  This activity is often performed by accountants and department managers. Departments and colleges have limited means for allocating resources to new academic initiatives that require an increase in the budget.  </w:t>
      </w:r>
      <w:r w:rsidR="009F1C5E">
        <w:rPr>
          <w:rFonts w:ascii="Times New Roman" w:hAnsi="Times New Roman" w:cs="Times New Roman"/>
          <w:sz w:val="26"/>
          <w:szCs w:val="26"/>
        </w:rPr>
        <w:t>The committee first charged by the Provost to investigate budget model alternatives found that t</w:t>
      </w:r>
      <w:r w:rsidRPr="006A0EF2">
        <w:rPr>
          <w:rFonts w:ascii="Times New Roman" w:hAnsi="Times New Roman" w:cs="Times New Roman"/>
          <w:sz w:val="26"/>
          <w:szCs w:val="26"/>
        </w:rPr>
        <w:t>here are special challenges in the current budgeting process that include:</w:t>
      </w:r>
    </w:p>
    <w:p w:rsidR="00D51637" w:rsidRPr="006A0EF2" w:rsidRDefault="00D51637" w:rsidP="006A0EF2">
      <w:pPr>
        <w:rPr>
          <w:rFonts w:ascii="Times New Roman" w:hAnsi="Times New Roman" w:cs="Times New Roman"/>
          <w:sz w:val="26"/>
          <w:szCs w:val="26"/>
        </w:rPr>
      </w:pP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 xml:space="preserve">Reduced state support; </w:t>
      </w: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 xml:space="preserve">Increased risk from tuition dependency, </w:t>
      </w:r>
      <w:r w:rsidR="006550D4">
        <w:rPr>
          <w:rFonts w:ascii="Times New Roman" w:hAnsi="Times New Roman" w:cs="Times New Roman"/>
          <w:sz w:val="26"/>
          <w:szCs w:val="26"/>
        </w:rPr>
        <w:t>which</w:t>
      </w:r>
      <w:r w:rsidRPr="006A0EF2">
        <w:rPr>
          <w:rFonts w:ascii="Times New Roman" w:hAnsi="Times New Roman" w:cs="Times New Roman"/>
          <w:sz w:val="26"/>
          <w:szCs w:val="26"/>
        </w:rPr>
        <w:t xml:space="preserve"> increased 43% from 2008-2013;</w:t>
      </w: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 xml:space="preserve">Increased price sensitivity regarding tuition increases; </w:t>
      </w: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 xml:space="preserve">Increased competition for students and faculty; </w:t>
      </w: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Changing student population demographics;</w:t>
      </w: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Increased faculty/staff salary compression;</w:t>
      </w:r>
    </w:p>
    <w:p w:rsidR="006A0EF2" w:rsidRPr="006A0EF2" w:rsidRDefault="006A0EF2" w:rsidP="00AF5382">
      <w:pPr>
        <w:numPr>
          <w:ilvl w:val="0"/>
          <w:numId w:val="1"/>
        </w:numPr>
        <w:spacing w:after="120"/>
        <w:rPr>
          <w:rFonts w:ascii="Times New Roman" w:hAnsi="Times New Roman" w:cs="Times New Roman"/>
          <w:sz w:val="26"/>
          <w:szCs w:val="26"/>
        </w:rPr>
      </w:pPr>
      <w:r w:rsidRPr="006A0EF2">
        <w:rPr>
          <w:rFonts w:ascii="Times New Roman" w:hAnsi="Times New Roman" w:cs="Times New Roman"/>
          <w:sz w:val="26"/>
          <w:szCs w:val="26"/>
        </w:rPr>
        <w:t>Limited funds for strategic support of growing areas of research, instruction or service;</w:t>
      </w:r>
    </w:p>
    <w:p w:rsidR="006A0EF2" w:rsidRPr="006A0EF2" w:rsidRDefault="006A0EF2" w:rsidP="006A0EF2">
      <w:pPr>
        <w:numPr>
          <w:ilvl w:val="0"/>
          <w:numId w:val="1"/>
        </w:numPr>
        <w:rPr>
          <w:rFonts w:ascii="Times New Roman" w:hAnsi="Times New Roman" w:cs="Times New Roman"/>
          <w:sz w:val="26"/>
          <w:szCs w:val="26"/>
        </w:rPr>
      </w:pPr>
      <w:r w:rsidRPr="006A0EF2">
        <w:rPr>
          <w:rFonts w:ascii="Times New Roman" w:hAnsi="Times New Roman" w:cs="Times New Roman"/>
          <w:sz w:val="26"/>
          <w:szCs w:val="26"/>
        </w:rPr>
        <w:t>No increased allocations for unit maintenance, operations and professional travel.</w:t>
      </w:r>
    </w:p>
    <w:p w:rsidR="0012457B" w:rsidRPr="0012457B" w:rsidRDefault="0012457B" w:rsidP="0012457B">
      <w:pPr>
        <w:rPr>
          <w:rFonts w:ascii="Times New Roman" w:hAnsi="Times New Roman" w:cs="Times New Roman"/>
          <w:b/>
          <w:sz w:val="26"/>
          <w:szCs w:val="26"/>
        </w:rPr>
      </w:pPr>
      <w:r w:rsidRPr="0012457B">
        <w:rPr>
          <w:rFonts w:ascii="Times New Roman" w:hAnsi="Times New Roman" w:cs="Times New Roman"/>
          <w:b/>
          <w:sz w:val="26"/>
          <w:szCs w:val="26"/>
        </w:rPr>
        <w:lastRenderedPageBreak/>
        <w:t xml:space="preserve">Budget </w:t>
      </w:r>
      <w:r w:rsidR="00156068">
        <w:rPr>
          <w:rFonts w:ascii="Times New Roman" w:hAnsi="Times New Roman" w:cs="Times New Roman"/>
          <w:b/>
          <w:sz w:val="26"/>
          <w:szCs w:val="26"/>
        </w:rPr>
        <w:t xml:space="preserve">Model </w:t>
      </w:r>
      <w:r w:rsidRPr="0012457B">
        <w:rPr>
          <w:rFonts w:ascii="Times New Roman" w:hAnsi="Times New Roman" w:cs="Times New Roman"/>
          <w:b/>
          <w:sz w:val="26"/>
          <w:szCs w:val="26"/>
        </w:rPr>
        <w:t>Alternatives</w:t>
      </w:r>
    </w:p>
    <w:p w:rsidR="0012457B" w:rsidRPr="0012457B" w:rsidRDefault="0012457B" w:rsidP="0012457B">
      <w:pPr>
        <w:rPr>
          <w:rFonts w:ascii="Times New Roman" w:hAnsi="Times New Roman" w:cs="Times New Roman"/>
          <w:sz w:val="26"/>
          <w:szCs w:val="26"/>
        </w:rPr>
      </w:pPr>
      <w:r w:rsidRPr="0012457B">
        <w:rPr>
          <w:rFonts w:ascii="Times New Roman" w:hAnsi="Times New Roman" w:cs="Times New Roman"/>
          <w:sz w:val="26"/>
          <w:szCs w:val="26"/>
        </w:rPr>
        <w:t xml:space="preserve">From a review of the literature on trends in higher education and a review of best budgeting practices at peer institutions, four common budget alternatives were noted.  See Table </w:t>
      </w:r>
      <w:r w:rsidR="009F1C5E">
        <w:rPr>
          <w:rFonts w:ascii="Times New Roman" w:hAnsi="Times New Roman" w:cs="Times New Roman"/>
          <w:sz w:val="26"/>
          <w:szCs w:val="26"/>
        </w:rPr>
        <w:t>1</w:t>
      </w:r>
      <w:r w:rsidRPr="0012457B">
        <w:rPr>
          <w:rFonts w:ascii="Times New Roman" w:hAnsi="Times New Roman" w:cs="Times New Roman"/>
          <w:sz w:val="26"/>
          <w:szCs w:val="26"/>
        </w:rPr>
        <w:t xml:space="preserve"> for a summary of the key features.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9F1C5E" w:rsidRPr="009F1C5E" w:rsidTr="002676BD">
        <w:trPr>
          <w:trHeight w:val="390"/>
        </w:trPr>
        <w:tc>
          <w:tcPr>
            <w:tcW w:w="9360" w:type="dxa"/>
            <w:gridSpan w:val="4"/>
            <w:tcBorders>
              <w:bottom w:val="single" w:sz="4" w:space="0" w:color="auto"/>
            </w:tcBorders>
            <w:noWrap/>
          </w:tcPr>
          <w:p w:rsidR="009F1C5E" w:rsidRPr="009F1C5E" w:rsidRDefault="009F1C5E" w:rsidP="009F1C5E">
            <w:pPr>
              <w:spacing w:after="160" w:line="259" w:lineRule="auto"/>
              <w:jc w:val="center"/>
              <w:rPr>
                <w:sz w:val="28"/>
                <w:szCs w:val="28"/>
              </w:rPr>
            </w:pPr>
            <w:r w:rsidRPr="009F1C5E">
              <w:rPr>
                <w:sz w:val="28"/>
                <w:szCs w:val="28"/>
              </w:rPr>
              <w:t>Common Budget Model Alternatives</w:t>
            </w:r>
          </w:p>
        </w:tc>
      </w:tr>
      <w:tr w:rsidR="009F1C5E" w:rsidRPr="009F1C5E" w:rsidTr="002676BD">
        <w:trPr>
          <w:trHeight w:val="390"/>
        </w:trPr>
        <w:tc>
          <w:tcPr>
            <w:tcW w:w="2340" w:type="dxa"/>
            <w:tcBorders>
              <w:bottom w:val="single" w:sz="4" w:space="0" w:color="auto"/>
            </w:tcBorders>
            <w:noWrap/>
            <w:hideMark/>
          </w:tcPr>
          <w:p w:rsidR="009F1C5E" w:rsidRPr="009F1C5E" w:rsidRDefault="009F1C5E" w:rsidP="009F1C5E">
            <w:pPr>
              <w:spacing w:after="160" w:line="259" w:lineRule="auto"/>
            </w:pPr>
            <w:r w:rsidRPr="009F1C5E">
              <w:t>INCREMENTAL</w:t>
            </w:r>
          </w:p>
        </w:tc>
        <w:tc>
          <w:tcPr>
            <w:tcW w:w="2340" w:type="dxa"/>
            <w:tcBorders>
              <w:bottom w:val="single" w:sz="4" w:space="0" w:color="auto"/>
            </w:tcBorders>
            <w:noWrap/>
            <w:hideMark/>
          </w:tcPr>
          <w:p w:rsidR="009F1C5E" w:rsidRPr="009F1C5E" w:rsidRDefault="009F1C5E" w:rsidP="009F1C5E">
            <w:pPr>
              <w:spacing w:after="160" w:line="259" w:lineRule="auto"/>
            </w:pPr>
            <w:r w:rsidRPr="009F1C5E">
              <w:t>FORMULA</w:t>
            </w:r>
          </w:p>
        </w:tc>
        <w:tc>
          <w:tcPr>
            <w:tcW w:w="2340" w:type="dxa"/>
            <w:tcBorders>
              <w:bottom w:val="single" w:sz="4" w:space="0" w:color="auto"/>
            </w:tcBorders>
            <w:noWrap/>
            <w:hideMark/>
          </w:tcPr>
          <w:p w:rsidR="009F1C5E" w:rsidRPr="009F1C5E" w:rsidRDefault="009F1C5E" w:rsidP="009F1C5E">
            <w:pPr>
              <w:spacing w:after="160" w:line="259" w:lineRule="auto"/>
            </w:pPr>
            <w:r w:rsidRPr="009F1C5E">
              <w:t>PERFORMANCE</w:t>
            </w:r>
          </w:p>
        </w:tc>
        <w:tc>
          <w:tcPr>
            <w:tcW w:w="2340" w:type="dxa"/>
            <w:tcBorders>
              <w:bottom w:val="single" w:sz="4" w:space="0" w:color="auto"/>
            </w:tcBorders>
            <w:noWrap/>
            <w:hideMark/>
          </w:tcPr>
          <w:p w:rsidR="009F1C5E" w:rsidRPr="009F1C5E" w:rsidRDefault="009F1C5E" w:rsidP="009F1C5E">
            <w:pPr>
              <w:spacing w:after="160" w:line="259" w:lineRule="auto"/>
            </w:pPr>
            <w:r w:rsidRPr="009F1C5E">
              <w:t>INCENTIVE-BASED</w:t>
            </w:r>
          </w:p>
        </w:tc>
      </w:tr>
      <w:tr w:rsidR="009F1C5E" w:rsidRPr="009F1C5E" w:rsidTr="002676BD">
        <w:trPr>
          <w:trHeight w:val="1200"/>
        </w:trPr>
        <w:tc>
          <w:tcPr>
            <w:tcW w:w="2340" w:type="dxa"/>
            <w:tcBorders>
              <w:top w:val="single" w:sz="4" w:space="0" w:color="auto"/>
            </w:tcBorders>
            <w:hideMark/>
          </w:tcPr>
          <w:p w:rsidR="009F1C5E" w:rsidRPr="009F1C5E" w:rsidRDefault="009F1C5E" w:rsidP="009F1C5E">
            <w:pPr>
              <w:spacing w:after="160" w:line="259" w:lineRule="auto"/>
            </w:pPr>
            <w:r w:rsidRPr="009F1C5E">
              <w:t>Centrally driven</w:t>
            </w:r>
          </w:p>
        </w:tc>
        <w:tc>
          <w:tcPr>
            <w:tcW w:w="2340" w:type="dxa"/>
            <w:tcBorders>
              <w:top w:val="single" w:sz="4" w:space="0" w:color="auto"/>
            </w:tcBorders>
            <w:hideMark/>
          </w:tcPr>
          <w:p w:rsidR="009F1C5E" w:rsidRPr="009F1C5E" w:rsidRDefault="009F1C5E" w:rsidP="009F1C5E">
            <w:pPr>
              <w:spacing w:after="160" w:line="259" w:lineRule="auto"/>
            </w:pPr>
            <w:r w:rsidRPr="009F1C5E">
              <w:t>Unit-based model focused on providing equitable funding</w:t>
            </w:r>
          </w:p>
        </w:tc>
        <w:tc>
          <w:tcPr>
            <w:tcW w:w="2340" w:type="dxa"/>
            <w:tcBorders>
              <w:top w:val="single" w:sz="4" w:space="0" w:color="auto"/>
            </w:tcBorders>
            <w:hideMark/>
          </w:tcPr>
          <w:p w:rsidR="009F1C5E" w:rsidRPr="009F1C5E" w:rsidRDefault="009F1C5E" w:rsidP="009F1C5E">
            <w:pPr>
              <w:spacing w:after="160" w:line="259" w:lineRule="auto"/>
            </w:pPr>
            <w:r w:rsidRPr="009F1C5E">
              <w:t>Unit-based model focused on rewarding mission delivery</w:t>
            </w:r>
          </w:p>
        </w:tc>
        <w:tc>
          <w:tcPr>
            <w:tcW w:w="2340" w:type="dxa"/>
            <w:tcBorders>
              <w:top w:val="single" w:sz="4" w:space="0" w:color="auto"/>
            </w:tcBorders>
            <w:hideMark/>
          </w:tcPr>
          <w:p w:rsidR="009F1C5E" w:rsidRPr="009F1C5E" w:rsidRDefault="009F1C5E" w:rsidP="009F1C5E">
            <w:pPr>
              <w:spacing w:after="160" w:line="259" w:lineRule="auto"/>
            </w:pPr>
            <w:r w:rsidRPr="009F1C5E">
              <w:t>Focus on academic units</w:t>
            </w:r>
          </w:p>
        </w:tc>
      </w:tr>
      <w:tr w:rsidR="009F1C5E" w:rsidRPr="009F1C5E" w:rsidTr="002676BD">
        <w:trPr>
          <w:trHeight w:val="1200"/>
        </w:trPr>
        <w:tc>
          <w:tcPr>
            <w:tcW w:w="2340" w:type="dxa"/>
            <w:hideMark/>
          </w:tcPr>
          <w:p w:rsidR="009F1C5E" w:rsidRPr="009F1C5E" w:rsidRDefault="009F1C5E" w:rsidP="009F1C5E">
            <w:pPr>
              <w:spacing w:after="160" w:line="259" w:lineRule="auto"/>
            </w:pPr>
            <w:r w:rsidRPr="009F1C5E">
              <w:t>Current  budget acts as "base"</w:t>
            </w:r>
          </w:p>
        </w:tc>
        <w:tc>
          <w:tcPr>
            <w:tcW w:w="2340" w:type="dxa"/>
            <w:hideMark/>
          </w:tcPr>
          <w:p w:rsidR="009F1C5E" w:rsidRPr="009F1C5E" w:rsidRDefault="009F1C5E" w:rsidP="009F1C5E">
            <w:pPr>
              <w:spacing w:after="160" w:line="259" w:lineRule="auto"/>
            </w:pPr>
            <w:r w:rsidRPr="009F1C5E">
              <w:t>Unit rates are input-based and commonly agreed upon</w:t>
            </w:r>
          </w:p>
        </w:tc>
        <w:tc>
          <w:tcPr>
            <w:tcW w:w="2340" w:type="dxa"/>
            <w:hideMark/>
          </w:tcPr>
          <w:p w:rsidR="009F1C5E" w:rsidRPr="009F1C5E" w:rsidRDefault="009F1C5E" w:rsidP="009F1C5E">
            <w:pPr>
              <w:spacing w:after="160" w:line="259" w:lineRule="auto"/>
            </w:pPr>
            <w:r w:rsidRPr="009F1C5E">
              <w:t>Unit rates are output-based and commonly agreed upon</w:t>
            </w:r>
          </w:p>
        </w:tc>
        <w:tc>
          <w:tcPr>
            <w:tcW w:w="2340" w:type="dxa"/>
            <w:hideMark/>
          </w:tcPr>
          <w:p w:rsidR="009F1C5E" w:rsidRPr="009F1C5E" w:rsidRDefault="009F1C5E" w:rsidP="009F1C5E">
            <w:pPr>
              <w:spacing w:after="160" w:line="259" w:lineRule="auto"/>
            </w:pPr>
            <w:r w:rsidRPr="009F1C5E">
              <w:t>Incorporates a devolution of revenue ownership to local units, as generated</w:t>
            </w:r>
          </w:p>
        </w:tc>
      </w:tr>
      <w:tr w:rsidR="009F1C5E" w:rsidRPr="009F1C5E" w:rsidTr="002676BD">
        <w:trPr>
          <w:trHeight w:val="1200"/>
        </w:trPr>
        <w:tc>
          <w:tcPr>
            <w:tcW w:w="2340" w:type="dxa"/>
            <w:hideMark/>
          </w:tcPr>
          <w:p w:rsidR="009F1C5E" w:rsidRPr="009F1C5E" w:rsidRDefault="009F1C5E" w:rsidP="009F1C5E">
            <w:pPr>
              <w:spacing w:after="160" w:line="259" w:lineRule="auto"/>
            </w:pPr>
            <w:r w:rsidRPr="009F1C5E">
              <w:t>Each year's budget increments (decrements) adjust the base</w:t>
            </w:r>
          </w:p>
        </w:tc>
        <w:tc>
          <w:tcPr>
            <w:tcW w:w="2340" w:type="dxa"/>
            <w:hideMark/>
          </w:tcPr>
          <w:p w:rsidR="009F1C5E" w:rsidRPr="009F1C5E" w:rsidRDefault="009F1C5E" w:rsidP="009F1C5E">
            <w:pPr>
              <w:spacing w:after="160" w:line="259" w:lineRule="auto"/>
            </w:pPr>
            <w:r w:rsidRPr="009F1C5E">
              <w:t>Annual fluctuations are driven primarily by the quantity of production and not from changes to rates</w:t>
            </w:r>
          </w:p>
        </w:tc>
        <w:tc>
          <w:tcPr>
            <w:tcW w:w="2340" w:type="dxa"/>
            <w:hideMark/>
          </w:tcPr>
          <w:p w:rsidR="009F1C5E" w:rsidRPr="009F1C5E" w:rsidRDefault="009F1C5E" w:rsidP="009F1C5E">
            <w:pPr>
              <w:spacing w:after="160" w:line="259" w:lineRule="auto"/>
            </w:pPr>
            <w:r w:rsidRPr="009F1C5E">
              <w:t>Annual fluctuations are driven primarily by changing production and not from changes to rates</w:t>
            </w:r>
          </w:p>
        </w:tc>
        <w:tc>
          <w:tcPr>
            <w:tcW w:w="2340" w:type="dxa"/>
            <w:hideMark/>
          </w:tcPr>
          <w:p w:rsidR="009F1C5E" w:rsidRPr="009F1C5E" w:rsidRDefault="009F1C5E" w:rsidP="009F1C5E">
            <w:pPr>
              <w:spacing w:after="160" w:line="259" w:lineRule="auto"/>
            </w:pPr>
            <w:r w:rsidRPr="009F1C5E">
              <w:t>Allocates costs to revenue generating units</w:t>
            </w:r>
          </w:p>
        </w:tc>
      </w:tr>
      <w:tr w:rsidR="009F1C5E" w:rsidRPr="009F1C5E" w:rsidTr="002676BD">
        <w:trPr>
          <w:trHeight w:val="1200"/>
        </w:trPr>
        <w:tc>
          <w:tcPr>
            <w:tcW w:w="2340" w:type="dxa"/>
            <w:hideMark/>
          </w:tcPr>
          <w:p w:rsidR="009F1C5E" w:rsidRPr="009F1C5E" w:rsidRDefault="009F1C5E" w:rsidP="009F1C5E">
            <w:pPr>
              <w:spacing w:after="160" w:line="259" w:lineRule="auto"/>
            </w:pPr>
            <w:r w:rsidRPr="009F1C5E">
              <w:t>Focus is typically placed on expenses</w:t>
            </w:r>
          </w:p>
        </w:tc>
        <w:tc>
          <w:tcPr>
            <w:tcW w:w="2340" w:type="dxa"/>
            <w:hideMark/>
          </w:tcPr>
          <w:p w:rsidR="009F1C5E" w:rsidRPr="009F1C5E" w:rsidRDefault="009F1C5E" w:rsidP="009F1C5E">
            <w:pPr>
              <w:spacing w:after="160" w:line="259" w:lineRule="auto"/>
            </w:pPr>
          </w:p>
        </w:tc>
        <w:tc>
          <w:tcPr>
            <w:tcW w:w="2340" w:type="dxa"/>
            <w:hideMark/>
          </w:tcPr>
          <w:p w:rsidR="009F1C5E" w:rsidRPr="009F1C5E" w:rsidRDefault="009F1C5E" w:rsidP="009F1C5E">
            <w:pPr>
              <w:spacing w:after="160" w:line="259" w:lineRule="auto"/>
            </w:pPr>
          </w:p>
        </w:tc>
        <w:tc>
          <w:tcPr>
            <w:tcW w:w="2340" w:type="dxa"/>
            <w:hideMark/>
          </w:tcPr>
          <w:p w:rsidR="009F1C5E" w:rsidRPr="009F1C5E" w:rsidRDefault="009F1C5E" w:rsidP="009F1C5E">
            <w:pPr>
              <w:spacing w:after="160" w:line="259" w:lineRule="auto"/>
            </w:pPr>
            <w:r w:rsidRPr="009F1C5E">
              <w:t>Uses a centrally managed 'subvention pool' to address strategic priorities</w:t>
            </w:r>
          </w:p>
        </w:tc>
      </w:tr>
      <w:tr w:rsidR="009F1C5E" w:rsidRPr="009F1C5E" w:rsidTr="002676BD">
        <w:trPr>
          <w:trHeight w:val="1200"/>
        </w:trPr>
        <w:tc>
          <w:tcPr>
            <w:tcW w:w="2340" w:type="dxa"/>
          </w:tcPr>
          <w:p w:rsidR="009F1C5E" w:rsidRPr="009F1C5E" w:rsidRDefault="009F1C5E" w:rsidP="009F1C5E">
            <w:pPr>
              <w:spacing w:after="160" w:line="259" w:lineRule="auto"/>
            </w:pPr>
          </w:p>
        </w:tc>
        <w:tc>
          <w:tcPr>
            <w:tcW w:w="2340" w:type="dxa"/>
          </w:tcPr>
          <w:p w:rsidR="009F1C5E" w:rsidRPr="009F1C5E" w:rsidRDefault="009F1C5E" w:rsidP="009F1C5E">
            <w:pPr>
              <w:spacing w:after="160" w:line="259" w:lineRule="auto"/>
            </w:pPr>
          </w:p>
        </w:tc>
        <w:tc>
          <w:tcPr>
            <w:tcW w:w="2340" w:type="dxa"/>
          </w:tcPr>
          <w:p w:rsidR="009F1C5E" w:rsidRPr="009F1C5E" w:rsidRDefault="009F1C5E" w:rsidP="009F1C5E">
            <w:pPr>
              <w:spacing w:after="160" w:line="259" w:lineRule="auto"/>
            </w:pPr>
          </w:p>
        </w:tc>
        <w:tc>
          <w:tcPr>
            <w:tcW w:w="2340" w:type="dxa"/>
          </w:tcPr>
          <w:p w:rsidR="009F1C5E" w:rsidRPr="009F1C5E" w:rsidRDefault="009F1C5E" w:rsidP="009F1C5E">
            <w:pPr>
              <w:spacing w:after="160" w:line="259" w:lineRule="auto"/>
            </w:pPr>
          </w:p>
        </w:tc>
      </w:tr>
    </w:tbl>
    <w:p w:rsidR="0012457B" w:rsidRPr="0012457B" w:rsidRDefault="0012457B" w:rsidP="0012457B">
      <w:pPr>
        <w:rPr>
          <w:rFonts w:ascii="Times New Roman" w:hAnsi="Times New Roman" w:cs="Times New Roman"/>
          <w:sz w:val="26"/>
          <w:szCs w:val="26"/>
        </w:rPr>
      </w:pPr>
      <w:r w:rsidRPr="0012457B">
        <w:rPr>
          <w:rFonts w:ascii="Times New Roman" w:hAnsi="Times New Roman" w:cs="Times New Roman"/>
          <w:sz w:val="26"/>
          <w:szCs w:val="26"/>
        </w:rPr>
        <w:t xml:space="preserve">Table </w:t>
      </w:r>
      <w:r w:rsidR="009F1C5E">
        <w:rPr>
          <w:rFonts w:ascii="Times New Roman" w:hAnsi="Times New Roman" w:cs="Times New Roman"/>
          <w:sz w:val="26"/>
          <w:szCs w:val="26"/>
        </w:rPr>
        <w:t>1</w:t>
      </w:r>
      <w:r w:rsidRPr="0012457B">
        <w:rPr>
          <w:rFonts w:ascii="Times New Roman" w:hAnsi="Times New Roman" w:cs="Times New Roman"/>
          <w:sz w:val="26"/>
          <w:szCs w:val="26"/>
        </w:rPr>
        <w:t>.  Common Budget Alternatives</w:t>
      </w:r>
    </w:p>
    <w:p w:rsidR="0012457B" w:rsidRPr="0012457B" w:rsidRDefault="0012457B" w:rsidP="0012457B">
      <w:pPr>
        <w:rPr>
          <w:rFonts w:ascii="Times New Roman" w:hAnsi="Times New Roman" w:cs="Times New Roman"/>
          <w:sz w:val="26"/>
          <w:szCs w:val="26"/>
        </w:rPr>
      </w:pPr>
      <w:r w:rsidRPr="0012457B">
        <w:rPr>
          <w:rFonts w:ascii="Times New Roman" w:hAnsi="Times New Roman" w:cs="Times New Roman"/>
          <w:sz w:val="26"/>
          <w:szCs w:val="26"/>
        </w:rPr>
        <w:t>From: ‘Strategic budget initiative: provost open forum.  November 19, 2013.’</w:t>
      </w:r>
      <w:r w:rsidR="009F1C5E">
        <w:rPr>
          <w:rFonts w:ascii="Times New Roman" w:hAnsi="Times New Roman" w:cs="Times New Roman"/>
          <w:sz w:val="26"/>
          <w:szCs w:val="26"/>
        </w:rPr>
        <w:br/>
      </w:r>
      <w:r w:rsidRPr="0012457B">
        <w:rPr>
          <w:rFonts w:ascii="Times New Roman" w:hAnsi="Times New Roman" w:cs="Times New Roman"/>
          <w:sz w:val="26"/>
          <w:szCs w:val="26"/>
        </w:rPr>
        <w:t>http://www.auburn.edu/academic/provost/Strategic%20Budget%20Initiative/campusupdates.html</w:t>
      </w:r>
    </w:p>
    <w:p w:rsidR="009F1C5E" w:rsidRDefault="009F1C5E" w:rsidP="0012457B">
      <w:pPr>
        <w:rPr>
          <w:rFonts w:ascii="Times New Roman" w:hAnsi="Times New Roman" w:cs="Times New Roman"/>
          <w:b/>
          <w:sz w:val="26"/>
          <w:szCs w:val="26"/>
        </w:rPr>
      </w:pPr>
      <w:r>
        <w:rPr>
          <w:rFonts w:ascii="Times New Roman" w:hAnsi="Times New Roman" w:cs="Times New Roman"/>
          <w:b/>
          <w:sz w:val="26"/>
          <w:szCs w:val="26"/>
        </w:rPr>
        <w:t>Findings of the Provost’s Budget Committee</w:t>
      </w:r>
    </w:p>
    <w:p w:rsidR="0012457B" w:rsidRPr="009F1C5E" w:rsidRDefault="0012457B" w:rsidP="0012457B">
      <w:pPr>
        <w:rPr>
          <w:rFonts w:ascii="Times New Roman" w:hAnsi="Times New Roman" w:cs="Times New Roman"/>
          <w:b/>
          <w:i/>
          <w:sz w:val="26"/>
          <w:szCs w:val="26"/>
        </w:rPr>
      </w:pPr>
      <w:r w:rsidRPr="009F1C5E">
        <w:rPr>
          <w:rFonts w:ascii="Times New Roman" w:hAnsi="Times New Roman" w:cs="Times New Roman"/>
          <w:b/>
          <w:i/>
          <w:sz w:val="26"/>
          <w:szCs w:val="26"/>
        </w:rPr>
        <w:t xml:space="preserve">Need for a New Budget Model </w:t>
      </w:r>
    </w:p>
    <w:p w:rsidR="0012457B" w:rsidRPr="0012457B" w:rsidRDefault="0012457B" w:rsidP="0012457B">
      <w:pPr>
        <w:rPr>
          <w:rFonts w:ascii="Times New Roman" w:hAnsi="Times New Roman" w:cs="Times New Roman"/>
          <w:sz w:val="26"/>
          <w:szCs w:val="26"/>
        </w:rPr>
      </w:pPr>
      <w:r w:rsidRPr="0012457B">
        <w:rPr>
          <w:rFonts w:ascii="Times New Roman" w:hAnsi="Times New Roman" w:cs="Times New Roman"/>
          <w:sz w:val="26"/>
          <w:szCs w:val="26"/>
        </w:rPr>
        <w:t>A shift in the process for budgeting funds is needed to allow for:</w:t>
      </w:r>
    </w:p>
    <w:p w:rsidR="0012457B" w:rsidRPr="0012457B" w:rsidRDefault="0012457B" w:rsidP="0012457B">
      <w:pPr>
        <w:numPr>
          <w:ilvl w:val="0"/>
          <w:numId w:val="2"/>
        </w:numPr>
        <w:rPr>
          <w:rFonts w:ascii="Times New Roman" w:hAnsi="Times New Roman" w:cs="Times New Roman"/>
          <w:sz w:val="26"/>
          <w:szCs w:val="26"/>
        </w:rPr>
      </w:pPr>
      <w:r w:rsidRPr="0012457B">
        <w:rPr>
          <w:rFonts w:ascii="Times New Roman" w:hAnsi="Times New Roman" w:cs="Times New Roman"/>
          <w:sz w:val="26"/>
          <w:szCs w:val="26"/>
        </w:rPr>
        <w:t xml:space="preserve">Fund allocation that is based on planned priorities and not just history; </w:t>
      </w:r>
    </w:p>
    <w:p w:rsidR="0012457B" w:rsidRPr="0012457B" w:rsidRDefault="0012457B" w:rsidP="0012457B">
      <w:pPr>
        <w:numPr>
          <w:ilvl w:val="0"/>
          <w:numId w:val="2"/>
        </w:numPr>
        <w:rPr>
          <w:rFonts w:ascii="Times New Roman" w:hAnsi="Times New Roman" w:cs="Times New Roman"/>
          <w:sz w:val="26"/>
          <w:szCs w:val="26"/>
        </w:rPr>
      </w:pPr>
      <w:r w:rsidRPr="0012457B">
        <w:rPr>
          <w:rFonts w:ascii="Times New Roman" w:hAnsi="Times New Roman" w:cs="Times New Roman"/>
          <w:sz w:val="26"/>
          <w:szCs w:val="26"/>
        </w:rPr>
        <w:t xml:space="preserve">Long-term planning as opposed to short-term allocations that are simply reactive; and </w:t>
      </w:r>
    </w:p>
    <w:p w:rsidR="0012457B" w:rsidRPr="0012457B" w:rsidRDefault="0012457B" w:rsidP="0012457B">
      <w:pPr>
        <w:numPr>
          <w:ilvl w:val="0"/>
          <w:numId w:val="2"/>
        </w:numPr>
        <w:rPr>
          <w:rFonts w:ascii="Times New Roman" w:hAnsi="Times New Roman" w:cs="Times New Roman"/>
          <w:sz w:val="26"/>
          <w:szCs w:val="26"/>
        </w:rPr>
      </w:pPr>
      <w:r w:rsidRPr="0012457B">
        <w:rPr>
          <w:rFonts w:ascii="Times New Roman" w:hAnsi="Times New Roman" w:cs="Times New Roman"/>
          <w:sz w:val="26"/>
          <w:szCs w:val="26"/>
        </w:rPr>
        <w:lastRenderedPageBreak/>
        <w:t>Stake-holders such as departments, colleges, units being empowered to enhanced decision making with the needed authority, responsibility and accountability.</w:t>
      </w:r>
    </w:p>
    <w:p w:rsidR="0012457B" w:rsidRPr="0012457B" w:rsidRDefault="0012457B" w:rsidP="0012457B">
      <w:pPr>
        <w:rPr>
          <w:rFonts w:ascii="Times New Roman" w:hAnsi="Times New Roman" w:cs="Times New Roman"/>
          <w:sz w:val="26"/>
          <w:szCs w:val="26"/>
        </w:rPr>
      </w:pPr>
    </w:p>
    <w:p w:rsidR="0012457B" w:rsidRPr="009F1C5E" w:rsidRDefault="0012457B" w:rsidP="0012457B">
      <w:pPr>
        <w:rPr>
          <w:rFonts w:ascii="Times New Roman" w:hAnsi="Times New Roman" w:cs="Times New Roman"/>
          <w:b/>
          <w:i/>
          <w:sz w:val="26"/>
          <w:szCs w:val="26"/>
        </w:rPr>
      </w:pPr>
      <w:r w:rsidRPr="009F1C5E">
        <w:rPr>
          <w:rFonts w:ascii="Times New Roman" w:hAnsi="Times New Roman" w:cs="Times New Roman"/>
          <w:b/>
          <w:i/>
          <w:sz w:val="26"/>
          <w:szCs w:val="26"/>
        </w:rPr>
        <w:t>Guiding Principles</w:t>
      </w:r>
    </w:p>
    <w:p w:rsidR="0012457B" w:rsidRPr="0012457B" w:rsidRDefault="0012457B" w:rsidP="0012457B">
      <w:pPr>
        <w:rPr>
          <w:rFonts w:ascii="Times New Roman" w:hAnsi="Times New Roman" w:cs="Times New Roman"/>
          <w:sz w:val="26"/>
          <w:szCs w:val="26"/>
        </w:rPr>
      </w:pPr>
      <w:r w:rsidRPr="0012457B">
        <w:rPr>
          <w:rFonts w:ascii="Times New Roman" w:hAnsi="Times New Roman" w:cs="Times New Roman"/>
          <w:sz w:val="26"/>
          <w:szCs w:val="26"/>
        </w:rPr>
        <w:t>The following guiding principles were considered important for a new budget model</w:t>
      </w:r>
      <w:r w:rsidR="009F1C5E">
        <w:rPr>
          <w:rFonts w:ascii="Times New Roman" w:hAnsi="Times New Roman" w:cs="Times New Roman"/>
          <w:sz w:val="26"/>
          <w:szCs w:val="26"/>
        </w:rPr>
        <w:t xml:space="preserve"> and were developed </w:t>
      </w:r>
      <w:r w:rsidR="006550D4">
        <w:rPr>
          <w:rFonts w:ascii="Times New Roman" w:hAnsi="Times New Roman" w:cs="Times New Roman"/>
          <w:sz w:val="26"/>
          <w:szCs w:val="26"/>
        </w:rPr>
        <w:t xml:space="preserve">by the strategic budgeting initiative steering committee after consulting with </w:t>
      </w:r>
      <w:r w:rsidR="009F1C5E">
        <w:rPr>
          <w:rFonts w:ascii="Times New Roman" w:hAnsi="Times New Roman" w:cs="Times New Roman"/>
          <w:sz w:val="26"/>
          <w:szCs w:val="26"/>
        </w:rPr>
        <w:t>Huron Education Consulting:</w:t>
      </w:r>
    </w:p>
    <w:p w:rsidR="0012457B" w:rsidRPr="0012457B" w:rsidRDefault="0012457B" w:rsidP="0012457B">
      <w:pPr>
        <w:numPr>
          <w:ilvl w:val="0"/>
          <w:numId w:val="3"/>
        </w:numPr>
        <w:rPr>
          <w:rFonts w:ascii="Times New Roman" w:hAnsi="Times New Roman" w:cs="Times New Roman"/>
          <w:sz w:val="26"/>
          <w:szCs w:val="26"/>
        </w:rPr>
      </w:pPr>
      <w:r w:rsidRPr="0012457B">
        <w:rPr>
          <w:rFonts w:ascii="Times New Roman" w:hAnsi="Times New Roman" w:cs="Times New Roman"/>
          <w:sz w:val="26"/>
          <w:szCs w:val="26"/>
        </w:rPr>
        <w:t>Prioritize funding of strategic initiatives aligned with Auburn’s mission;</w:t>
      </w:r>
    </w:p>
    <w:p w:rsidR="0012457B" w:rsidRPr="0012457B" w:rsidRDefault="0012457B" w:rsidP="0012457B">
      <w:pPr>
        <w:numPr>
          <w:ilvl w:val="0"/>
          <w:numId w:val="3"/>
        </w:numPr>
        <w:rPr>
          <w:rFonts w:ascii="Times New Roman" w:hAnsi="Times New Roman" w:cs="Times New Roman"/>
          <w:sz w:val="26"/>
          <w:szCs w:val="26"/>
        </w:rPr>
      </w:pPr>
      <w:r w:rsidRPr="0012457B">
        <w:rPr>
          <w:rFonts w:ascii="Times New Roman" w:hAnsi="Times New Roman" w:cs="Times New Roman"/>
          <w:sz w:val="26"/>
          <w:szCs w:val="26"/>
        </w:rPr>
        <w:t>Deliver consistent, accurate and realistic financial projections, while allowing flexibility to respond to future opportunities and unknowns;</w:t>
      </w:r>
    </w:p>
    <w:p w:rsidR="0012457B" w:rsidRPr="0012457B" w:rsidRDefault="0012457B" w:rsidP="0012457B">
      <w:pPr>
        <w:numPr>
          <w:ilvl w:val="0"/>
          <w:numId w:val="3"/>
        </w:numPr>
        <w:rPr>
          <w:rFonts w:ascii="Times New Roman" w:hAnsi="Times New Roman" w:cs="Times New Roman"/>
          <w:sz w:val="26"/>
          <w:szCs w:val="26"/>
        </w:rPr>
      </w:pPr>
      <w:r w:rsidRPr="0012457B">
        <w:rPr>
          <w:rFonts w:ascii="Times New Roman" w:hAnsi="Times New Roman" w:cs="Times New Roman"/>
          <w:sz w:val="26"/>
          <w:szCs w:val="26"/>
        </w:rPr>
        <w:t xml:space="preserve">Promote authority, responsibility, and accountability, both locally and University-wide; </w:t>
      </w:r>
    </w:p>
    <w:p w:rsidR="0012457B" w:rsidRPr="0012457B" w:rsidRDefault="0012457B" w:rsidP="0012457B">
      <w:pPr>
        <w:numPr>
          <w:ilvl w:val="0"/>
          <w:numId w:val="3"/>
        </w:numPr>
        <w:rPr>
          <w:rFonts w:ascii="Times New Roman" w:hAnsi="Times New Roman" w:cs="Times New Roman"/>
          <w:sz w:val="26"/>
          <w:szCs w:val="26"/>
        </w:rPr>
      </w:pPr>
      <w:r w:rsidRPr="0012457B">
        <w:rPr>
          <w:rFonts w:ascii="Times New Roman" w:hAnsi="Times New Roman" w:cs="Times New Roman"/>
          <w:sz w:val="26"/>
          <w:szCs w:val="26"/>
        </w:rPr>
        <w:t xml:space="preserve">Provide incentives for effective management of both revenues and expenses and reward creativity and innovation; </w:t>
      </w:r>
    </w:p>
    <w:p w:rsidR="0012457B" w:rsidRPr="0012457B" w:rsidRDefault="0012457B" w:rsidP="0012457B">
      <w:pPr>
        <w:numPr>
          <w:ilvl w:val="0"/>
          <w:numId w:val="3"/>
        </w:numPr>
        <w:rPr>
          <w:rFonts w:ascii="Times New Roman" w:hAnsi="Times New Roman" w:cs="Times New Roman"/>
          <w:sz w:val="26"/>
          <w:szCs w:val="26"/>
        </w:rPr>
      </w:pPr>
      <w:r w:rsidRPr="0012457B">
        <w:rPr>
          <w:rFonts w:ascii="Times New Roman" w:hAnsi="Times New Roman" w:cs="Times New Roman"/>
          <w:sz w:val="26"/>
          <w:szCs w:val="26"/>
        </w:rPr>
        <w:t>Be si</w:t>
      </w:r>
      <w:r w:rsidR="00B431F5">
        <w:rPr>
          <w:rFonts w:ascii="Times New Roman" w:hAnsi="Times New Roman" w:cs="Times New Roman"/>
          <w:sz w:val="26"/>
          <w:szCs w:val="26"/>
        </w:rPr>
        <w:t>mple, transparent, and logical.</w:t>
      </w:r>
    </w:p>
    <w:p w:rsidR="0012457B" w:rsidRPr="0012457B" w:rsidRDefault="0012457B" w:rsidP="0012457B">
      <w:pPr>
        <w:rPr>
          <w:rFonts w:ascii="Times New Roman" w:hAnsi="Times New Roman" w:cs="Times New Roman"/>
          <w:sz w:val="26"/>
          <w:szCs w:val="26"/>
        </w:rPr>
      </w:pPr>
    </w:p>
    <w:p w:rsidR="006A0EF2" w:rsidRDefault="006A0EF2" w:rsidP="009106FF">
      <w:pPr>
        <w:rPr>
          <w:rFonts w:ascii="Times New Roman" w:hAnsi="Times New Roman" w:cs="Times New Roman"/>
          <w:sz w:val="26"/>
          <w:szCs w:val="26"/>
        </w:rPr>
      </w:pPr>
    </w:p>
    <w:p w:rsidR="006C5CC5" w:rsidRDefault="006C5CC5" w:rsidP="009106FF">
      <w:pPr>
        <w:rPr>
          <w:rFonts w:ascii="Times New Roman" w:hAnsi="Times New Roman" w:cs="Times New Roman"/>
          <w:b/>
          <w:sz w:val="26"/>
          <w:szCs w:val="26"/>
        </w:rPr>
      </w:pPr>
    </w:p>
    <w:p w:rsidR="00887CF2" w:rsidRDefault="006F759E" w:rsidP="009106FF">
      <w:pPr>
        <w:rPr>
          <w:rFonts w:ascii="Times New Roman" w:hAnsi="Times New Roman" w:cs="Times New Roman"/>
          <w:b/>
          <w:sz w:val="26"/>
          <w:szCs w:val="26"/>
        </w:rPr>
      </w:pPr>
      <w:r>
        <w:rPr>
          <w:rFonts w:ascii="Times New Roman" w:hAnsi="Times New Roman" w:cs="Times New Roman"/>
          <w:b/>
          <w:sz w:val="26"/>
          <w:szCs w:val="26"/>
        </w:rPr>
        <w:t xml:space="preserve">A Brief Review of </w:t>
      </w:r>
      <w:r w:rsidR="00887CF2" w:rsidRPr="00887CF2">
        <w:rPr>
          <w:rFonts w:ascii="Times New Roman" w:hAnsi="Times New Roman" w:cs="Times New Roman"/>
          <w:b/>
          <w:sz w:val="26"/>
          <w:szCs w:val="26"/>
        </w:rPr>
        <w:t>Responsibility Center Management (RCM) Budgeting</w:t>
      </w:r>
      <w:r>
        <w:rPr>
          <w:rFonts w:ascii="Times New Roman" w:hAnsi="Times New Roman" w:cs="Times New Roman"/>
          <w:b/>
          <w:sz w:val="26"/>
          <w:szCs w:val="26"/>
        </w:rPr>
        <w:t xml:space="preserve"> and the Currently Proposed RCM Budget Model for Auburn</w:t>
      </w:r>
    </w:p>
    <w:p w:rsidR="00887CF2" w:rsidRDefault="00887CF2" w:rsidP="009106FF">
      <w:pPr>
        <w:rPr>
          <w:rFonts w:ascii="Times New Roman" w:hAnsi="Times New Roman" w:cs="Times New Roman"/>
          <w:sz w:val="26"/>
          <w:szCs w:val="26"/>
        </w:rPr>
      </w:pPr>
      <w:r>
        <w:rPr>
          <w:rFonts w:ascii="Times New Roman" w:hAnsi="Times New Roman" w:cs="Times New Roman"/>
          <w:sz w:val="26"/>
          <w:szCs w:val="26"/>
        </w:rPr>
        <w:t>The budgeting framework being proposed by Auburn’s administration is very similar to what is generally referred to as Responsibility Center Management.  Using this model, Colleges and Schools are identified as responsibility centers capable of generating revenues and incurring costs</w:t>
      </w:r>
      <w:r w:rsidR="006F759E">
        <w:rPr>
          <w:rFonts w:ascii="Times New Roman" w:hAnsi="Times New Roman" w:cs="Times New Roman"/>
          <w:sz w:val="26"/>
          <w:szCs w:val="26"/>
        </w:rPr>
        <w:t>.</w:t>
      </w:r>
    </w:p>
    <w:p w:rsidR="0055525B" w:rsidRPr="0055525B" w:rsidRDefault="0055525B" w:rsidP="0055525B">
      <w:pPr>
        <w:rPr>
          <w:rFonts w:ascii="Times New Roman" w:hAnsi="Times New Roman" w:cs="Times New Roman"/>
          <w:sz w:val="26"/>
          <w:szCs w:val="26"/>
        </w:rPr>
      </w:pPr>
      <w:r>
        <w:rPr>
          <w:rFonts w:ascii="Times New Roman" w:hAnsi="Times New Roman" w:cs="Times New Roman"/>
          <w:sz w:val="26"/>
          <w:szCs w:val="26"/>
        </w:rPr>
        <w:t>Under the currently proposed RCM</w:t>
      </w:r>
      <w:r w:rsidRPr="0055525B">
        <w:rPr>
          <w:rFonts w:ascii="Times New Roman" w:hAnsi="Times New Roman" w:cs="Times New Roman"/>
          <w:sz w:val="26"/>
          <w:szCs w:val="26"/>
        </w:rPr>
        <w:t xml:space="preserve"> model, Auburn University’s “centers” would be grouped at the College level of the organization and each College’s Dean would become a Responsibilit</w:t>
      </w:r>
      <w:r>
        <w:rPr>
          <w:rFonts w:ascii="Times New Roman" w:hAnsi="Times New Roman" w:cs="Times New Roman"/>
          <w:sz w:val="26"/>
          <w:szCs w:val="26"/>
        </w:rPr>
        <w:t>y Center Manager</w:t>
      </w:r>
      <w:r w:rsidRPr="0055525B">
        <w:rPr>
          <w:rFonts w:ascii="Times New Roman" w:hAnsi="Times New Roman" w:cs="Times New Roman"/>
          <w:sz w:val="26"/>
          <w:szCs w:val="26"/>
        </w:rPr>
        <w:t xml:space="preserve">. The currently proposed model has a structure </w:t>
      </w:r>
      <w:r w:rsidR="006550D4">
        <w:rPr>
          <w:rFonts w:ascii="Times New Roman" w:hAnsi="Times New Roman" w:cs="Times New Roman"/>
          <w:sz w:val="26"/>
          <w:szCs w:val="26"/>
        </w:rPr>
        <w:t>composed</w:t>
      </w:r>
      <w:r w:rsidR="006550D4" w:rsidRPr="0055525B">
        <w:rPr>
          <w:rFonts w:ascii="Times New Roman" w:hAnsi="Times New Roman" w:cs="Times New Roman"/>
          <w:sz w:val="26"/>
          <w:szCs w:val="26"/>
        </w:rPr>
        <w:t xml:space="preserve"> </w:t>
      </w:r>
      <w:r w:rsidRPr="0055525B">
        <w:rPr>
          <w:rFonts w:ascii="Times New Roman" w:hAnsi="Times New Roman" w:cs="Times New Roman"/>
          <w:sz w:val="26"/>
          <w:szCs w:val="26"/>
        </w:rPr>
        <w:t>of four separate budgetary units. The units include the following entities:</w:t>
      </w:r>
    </w:p>
    <w:p w:rsidR="0055525B" w:rsidRPr="0055525B" w:rsidRDefault="0055525B" w:rsidP="0055525B">
      <w:pPr>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9"/>
      </w:tblGrid>
      <w:tr w:rsidR="0055525B" w:rsidRPr="0055525B" w:rsidTr="00C12685">
        <w:trPr>
          <w:jc w:val="center"/>
        </w:trPr>
        <w:tc>
          <w:tcPr>
            <w:tcW w:w="0" w:type="auto"/>
          </w:tcPr>
          <w:p w:rsidR="0055525B" w:rsidRPr="0055525B" w:rsidRDefault="0055525B" w:rsidP="00225768">
            <w:pPr>
              <w:numPr>
                <w:ilvl w:val="0"/>
                <w:numId w:val="4"/>
              </w:numPr>
              <w:spacing w:after="120" w:line="259" w:lineRule="auto"/>
              <w:rPr>
                <w:rFonts w:ascii="Times New Roman" w:hAnsi="Times New Roman" w:cs="Times New Roman"/>
                <w:sz w:val="26"/>
                <w:szCs w:val="26"/>
              </w:rPr>
            </w:pPr>
            <w:r w:rsidRPr="0055525B">
              <w:rPr>
                <w:rFonts w:ascii="Times New Roman" w:hAnsi="Times New Roman" w:cs="Times New Roman"/>
                <w:sz w:val="26"/>
                <w:szCs w:val="26"/>
              </w:rPr>
              <w:t>Auburn University Main Campus (AU Main Campus)</w:t>
            </w:r>
          </w:p>
        </w:tc>
      </w:tr>
      <w:tr w:rsidR="0055525B" w:rsidRPr="0055525B" w:rsidTr="00C12685">
        <w:trPr>
          <w:jc w:val="center"/>
        </w:trPr>
        <w:tc>
          <w:tcPr>
            <w:tcW w:w="0" w:type="auto"/>
          </w:tcPr>
          <w:p w:rsidR="0055525B" w:rsidRPr="0055525B" w:rsidRDefault="0055525B" w:rsidP="00225768">
            <w:pPr>
              <w:numPr>
                <w:ilvl w:val="0"/>
                <w:numId w:val="4"/>
              </w:numPr>
              <w:spacing w:after="120" w:line="259" w:lineRule="auto"/>
              <w:rPr>
                <w:rFonts w:ascii="Times New Roman" w:hAnsi="Times New Roman" w:cs="Times New Roman"/>
                <w:sz w:val="26"/>
                <w:szCs w:val="26"/>
              </w:rPr>
            </w:pPr>
            <w:r w:rsidRPr="0055525B">
              <w:rPr>
                <w:rFonts w:ascii="Times New Roman" w:hAnsi="Times New Roman" w:cs="Times New Roman"/>
                <w:sz w:val="26"/>
                <w:szCs w:val="26"/>
              </w:rPr>
              <w:t>Auburn University – Montgomery (AUM)</w:t>
            </w:r>
          </w:p>
        </w:tc>
      </w:tr>
      <w:tr w:rsidR="0055525B" w:rsidRPr="0055525B" w:rsidTr="00C12685">
        <w:trPr>
          <w:jc w:val="center"/>
        </w:trPr>
        <w:tc>
          <w:tcPr>
            <w:tcW w:w="0" w:type="auto"/>
          </w:tcPr>
          <w:p w:rsidR="0055525B" w:rsidRPr="0055525B" w:rsidRDefault="0055525B" w:rsidP="00225768">
            <w:pPr>
              <w:numPr>
                <w:ilvl w:val="0"/>
                <w:numId w:val="4"/>
              </w:numPr>
              <w:spacing w:after="120" w:line="259" w:lineRule="auto"/>
              <w:rPr>
                <w:rFonts w:ascii="Times New Roman" w:hAnsi="Times New Roman" w:cs="Times New Roman"/>
                <w:sz w:val="26"/>
                <w:szCs w:val="26"/>
              </w:rPr>
            </w:pPr>
            <w:r w:rsidRPr="0055525B">
              <w:rPr>
                <w:rFonts w:ascii="Times New Roman" w:hAnsi="Times New Roman" w:cs="Times New Roman"/>
                <w:sz w:val="26"/>
                <w:szCs w:val="26"/>
              </w:rPr>
              <w:t>Alabama Agricultural Experiment Station (AAES)</w:t>
            </w:r>
          </w:p>
        </w:tc>
      </w:tr>
      <w:tr w:rsidR="0055525B" w:rsidRPr="0055525B" w:rsidTr="00C12685">
        <w:trPr>
          <w:jc w:val="center"/>
        </w:trPr>
        <w:tc>
          <w:tcPr>
            <w:tcW w:w="0" w:type="auto"/>
          </w:tcPr>
          <w:p w:rsidR="0055525B" w:rsidRPr="0055525B" w:rsidRDefault="0055525B" w:rsidP="00225768">
            <w:pPr>
              <w:numPr>
                <w:ilvl w:val="0"/>
                <w:numId w:val="4"/>
              </w:numPr>
              <w:spacing w:after="120" w:line="259" w:lineRule="auto"/>
              <w:rPr>
                <w:rFonts w:ascii="Times New Roman" w:hAnsi="Times New Roman" w:cs="Times New Roman"/>
                <w:sz w:val="26"/>
                <w:szCs w:val="26"/>
              </w:rPr>
            </w:pPr>
            <w:r w:rsidRPr="0055525B">
              <w:rPr>
                <w:rFonts w:ascii="Times New Roman" w:hAnsi="Times New Roman" w:cs="Times New Roman"/>
                <w:sz w:val="26"/>
                <w:szCs w:val="26"/>
              </w:rPr>
              <w:t>Alabama Cooperative Extension System (ACES)</w:t>
            </w:r>
          </w:p>
        </w:tc>
      </w:tr>
    </w:tbl>
    <w:p w:rsidR="0055525B" w:rsidRPr="0055525B" w:rsidRDefault="0055525B"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sz w:val="26"/>
          <w:szCs w:val="26"/>
        </w:rPr>
      </w:pPr>
      <w:r>
        <w:rPr>
          <w:rFonts w:ascii="Times New Roman" w:hAnsi="Times New Roman" w:cs="Times New Roman"/>
          <w:sz w:val="26"/>
          <w:szCs w:val="26"/>
        </w:rPr>
        <w:t>I</w:t>
      </w:r>
      <w:r w:rsidRPr="0055525B">
        <w:rPr>
          <w:rFonts w:ascii="Times New Roman" w:hAnsi="Times New Roman" w:cs="Times New Roman"/>
          <w:sz w:val="26"/>
          <w:szCs w:val="26"/>
        </w:rPr>
        <w:t xml:space="preserve">t should be noted that all benefits provided by administrative and support service units to Auburn University Intercollegiate Athletics will be paid for by Athletics. As well, AUM, AAES, and ACES all benefit from the provision of administrative and support services. These operating units would also be allocated the costs of the services they receive. </w:t>
      </w:r>
    </w:p>
    <w:p w:rsidR="0055525B" w:rsidRPr="0055525B" w:rsidRDefault="0055525B"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Revenues</w:t>
      </w: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 xml:space="preserve">Whereas the budget model that is currently implemented does not address certain revenues, the proposed </w:t>
      </w:r>
      <w:r w:rsidR="00B63178">
        <w:rPr>
          <w:rFonts w:ascii="Times New Roman" w:hAnsi="Times New Roman" w:cs="Times New Roman"/>
          <w:sz w:val="26"/>
          <w:szCs w:val="26"/>
        </w:rPr>
        <w:t>RCM</w:t>
      </w:r>
      <w:r w:rsidRPr="0055525B">
        <w:rPr>
          <w:rFonts w:ascii="Times New Roman" w:hAnsi="Times New Roman" w:cs="Times New Roman"/>
          <w:sz w:val="26"/>
          <w:szCs w:val="26"/>
        </w:rPr>
        <w:t xml:space="preserve"> model will employ an “All Funds Approach” in which both restricted and unrestricted revenues will be included. Revenues will be classified as either “Direct Revenues,” which are included in the current model, or “Allocated Revenues,” which are not. </w:t>
      </w:r>
    </w:p>
    <w:p w:rsidR="0055525B" w:rsidRPr="0055525B" w:rsidRDefault="0055525B"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Direct revenues will remain within the college where they are earned and include the following sources: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3889"/>
      </w:tblGrid>
      <w:tr w:rsidR="0055525B" w:rsidRPr="0055525B" w:rsidTr="00C12685">
        <w:trPr>
          <w:jc w:val="center"/>
        </w:trPr>
        <w:tc>
          <w:tcPr>
            <w:tcW w:w="0" w:type="auto"/>
          </w:tcPr>
          <w:p w:rsidR="0055525B" w:rsidRPr="0055525B" w:rsidRDefault="0055525B" w:rsidP="00225768">
            <w:pPr>
              <w:numPr>
                <w:ilvl w:val="0"/>
                <w:numId w:val="5"/>
              </w:numPr>
              <w:spacing w:line="259" w:lineRule="auto"/>
              <w:rPr>
                <w:rFonts w:ascii="Times New Roman" w:hAnsi="Times New Roman" w:cs="Times New Roman"/>
                <w:sz w:val="26"/>
                <w:szCs w:val="26"/>
              </w:rPr>
            </w:pPr>
            <w:r w:rsidRPr="0055525B">
              <w:rPr>
                <w:rFonts w:ascii="Times New Roman" w:hAnsi="Times New Roman" w:cs="Times New Roman"/>
                <w:sz w:val="26"/>
                <w:szCs w:val="26"/>
              </w:rPr>
              <w:t>Differential tuition and course fees</w:t>
            </w:r>
          </w:p>
        </w:tc>
        <w:tc>
          <w:tcPr>
            <w:tcW w:w="0" w:type="auto"/>
          </w:tcPr>
          <w:p w:rsidR="0055525B" w:rsidRPr="0055525B" w:rsidRDefault="0055525B" w:rsidP="00225768">
            <w:pPr>
              <w:numPr>
                <w:ilvl w:val="0"/>
                <w:numId w:val="5"/>
              </w:numPr>
              <w:spacing w:line="259" w:lineRule="auto"/>
              <w:rPr>
                <w:rFonts w:ascii="Times New Roman" w:hAnsi="Times New Roman" w:cs="Times New Roman"/>
                <w:sz w:val="26"/>
                <w:szCs w:val="26"/>
              </w:rPr>
            </w:pPr>
            <w:r w:rsidRPr="0055525B">
              <w:rPr>
                <w:rFonts w:ascii="Times New Roman" w:hAnsi="Times New Roman" w:cs="Times New Roman"/>
                <w:sz w:val="26"/>
                <w:szCs w:val="26"/>
              </w:rPr>
              <w:t>Gifts and private support</w:t>
            </w:r>
          </w:p>
        </w:tc>
      </w:tr>
      <w:tr w:rsidR="0055525B" w:rsidRPr="0055525B" w:rsidTr="00C12685">
        <w:trPr>
          <w:jc w:val="center"/>
        </w:trPr>
        <w:tc>
          <w:tcPr>
            <w:tcW w:w="0" w:type="auto"/>
          </w:tcPr>
          <w:p w:rsidR="0055525B" w:rsidRPr="0055525B" w:rsidRDefault="0055525B" w:rsidP="00225768">
            <w:pPr>
              <w:numPr>
                <w:ilvl w:val="0"/>
                <w:numId w:val="5"/>
              </w:numPr>
              <w:spacing w:line="259" w:lineRule="auto"/>
              <w:rPr>
                <w:rFonts w:ascii="Times New Roman" w:hAnsi="Times New Roman" w:cs="Times New Roman"/>
                <w:sz w:val="26"/>
                <w:szCs w:val="26"/>
              </w:rPr>
            </w:pPr>
            <w:r w:rsidRPr="0055525B">
              <w:rPr>
                <w:rFonts w:ascii="Times New Roman" w:hAnsi="Times New Roman" w:cs="Times New Roman"/>
                <w:sz w:val="26"/>
                <w:szCs w:val="26"/>
              </w:rPr>
              <w:t>Graduate distance learning fees</w:t>
            </w:r>
          </w:p>
        </w:tc>
        <w:tc>
          <w:tcPr>
            <w:tcW w:w="0" w:type="auto"/>
          </w:tcPr>
          <w:p w:rsidR="0055525B" w:rsidRPr="0055525B" w:rsidRDefault="0055525B" w:rsidP="00225768">
            <w:pPr>
              <w:numPr>
                <w:ilvl w:val="0"/>
                <w:numId w:val="5"/>
              </w:numPr>
              <w:spacing w:line="259" w:lineRule="auto"/>
              <w:rPr>
                <w:rFonts w:ascii="Times New Roman" w:hAnsi="Times New Roman" w:cs="Times New Roman"/>
                <w:sz w:val="26"/>
                <w:szCs w:val="26"/>
              </w:rPr>
            </w:pPr>
            <w:r w:rsidRPr="0055525B">
              <w:rPr>
                <w:rFonts w:ascii="Times New Roman" w:hAnsi="Times New Roman" w:cs="Times New Roman"/>
                <w:sz w:val="26"/>
                <w:szCs w:val="26"/>
              </w:rPr>
              <w:t>Investment income</w:t>
            </w:r>
          </w:p>
        </w:tc>
      </w:tr>
      <w:tr w:rsidR="0055525B" w:rsidRPr="0055525B" w:rsidTr="00C12685">
        <w:trPr>
          <w:jc w:val="center"/>
        </w:trPr>
        <w:tc>
          <w:tcPr>
            <w:tcW w:w="0" w:type="auto"/>
          </w:tcPr>
          <w:p w:rsidR="0055525B" w:rsidRPr="0055525B" w:rsidRDefault="0055525B" w:rsidP="00225768">
            <w:pPr>
              <w:numPr>
                <w:ilvl w:val="0"/>
                <w:numId w:val="5"/>
              </w:numPr>
              <w:spacing w:line="259" w:lineRule="auto"/>
              <w:rPr>
                <w:rFonts w:ascii="Times New Roman" w:hAnsi="Times New Roman" w:cs="Times New Roman"/>
                <w:sz w:val="26"/>
                <w:szCs w:val="26"/>
              </w:rPr>
            </w:pPr>
            <w:r w:rsidRPr="0055525B">
              <w:rPr>
                <w:rFonts w:ascii="Times New Roman" w:hAnsi="Times New Roman" w:cs="Times New Roman"/>
                <w:sz w:val="26"/>
                <w:szCs w:val="26"/>
              </w:rPr>
              <w:t>Contracts and grants</w:t>
            </w:r>
          </w:p>
        </w:tc>
        <w:tc>
          <w:tcPr>
            <w:tcW w:w="0" w:type="auto"/>
          </w:tcPr>
          <w:p w:rsidR="0055525B" w:rsidRPr="0055525B" w:rsidRDefault="0055525B" w:rsidP="00225768">
            <w:pPr>
              <w:numPr>
                <w:ilvl w:val="0"/>
                <w:numId w:val="5"/>
              </w:numPr>
              <w:spacing w:line="259" w:lineRule="auto"/>
              <w:rPr>
                <w:rFonts w:ascii="Times New Roman" w:hAnsi="Times New Roman" w:cs="Times New Roman"/>
                <w:sz w:val="26"/>
                <w:szCs w:val="26"/>
              </w:rPr>
            </w:pPr>
            <w:r w:rsidRPr="0055525B">
              <w:rPr>
                <w:rFonts w:ascii="Times New Roman" w:hAnsi="Times New Roman" w:cs="Times New Roman"/>
                <w:sz w:val="26"/>
                <w:szCs w:val="26"/>
              </w:rPr>
              <w:t>Sales and services</w:t>
            </w:r>
          </w:p>
        </w:tc>
      </w:tr>
    </w:tbl>
    <w:p w:rsidR="0055525B" w:rsidRPr="0055525B" w:rsidRDefault="0055525B" w:rsidP="0055525B">
      <w:pPr>
        <w:rPr>
          <w:rFonts w:ascii="Times New Roman" w:hAnsi="Times New Roman" w:cs="Times New Roman"/>
          <w:sz w:val="26"/>
          <w:szCs w:val="26"/>
        </w:rPr>
      </w:pPr>
    </w:p>
    <w:p w:rsidR="0055525B" w:rsidRPr="0055525B" w:rsidRDefault="0055525B" w:rsidP="00225768">
      <w:pPr>
        <w:rPr>
          <w:rFonts w:ascii="Times New Roman" w:hAnsi="Times New Roman" w:cs="Times New Roman"/>
          <w:sz w:val="26"/>
          <w:szCs w:val="26"/>
        </w:rPr>
      </w:pPr>
      <w:r w:rsidRPr="0055525B">
        <w:rPr>
          <w:rFonts w:ascii="Times New Roman" w:hAnsi="Times New Roman" w:cs="Times New Roman"/>
          <w:sz w:val="26"/>
          <w:szCs w:val="26"/>
        </w:rPr>
        <w:t>Allocated revenues will be divided into allocation pools. The sources of these revenues 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63"/>
      </w:tblGrid>
      <w:tr w:rsidR="0055525B" w:rsidRPr="0055525B" w:rsidTr="00C12685">
        <w:trPr>
          <w:jc w:val="center"/>
        </w:trPr>
        <w:tc>
          <w:tcPr>
            <w:tcW w:w="0" w:type="auto"/>
          </w:tcPr>
          <w:p w:rsidR="0055525B" w:rsidRPr="00BE3BBE" w:rsidRDefault="0055525B" w:rsidP="00225768">
            <w:pPr>
              <w:numPr>
                <w:ilvl w:val="0"/>
                <w:numId w:val="6"/>
              </w:numPr>
              <w:spacing w:line="259" w:lineRule="auto"/>
              <w:rPr>
                <w:rFonts w:ascii="Times New Roman" w:hAnsi="Times New Roman" w:cs="Times New Roman"/>
                <w:sz w:val="26"/>
                <w:szCs w:val="26"/>
              </w:rPr>
            </w:pPr>
            <w:r w:rsidRPr="00BE3BBE">
              <w:rPr>
                <w:rFonts w:ascii="Times New Roman" w:hAnsi="Times New Roman" w:cs="Times New Roman"/>
                <w:sz w:val="26"/>
                <w:szCs w:val="26"/>
              </w:rPr>
              <w:t>Gross tuition</w:t>
            </w:r>
          </w:p>
        </w:tc>
        <w:tc>
          <w:tcPr>
            <w:tcW w:w="0" w:type="auto"/>
          </w:tcPr>
          <w:p w:rsidR="0055525B" w:rsidRPr="0055525B" w:rsidRDefault="00C94609" w:rsidP="00225768">
            <w:pPr>
              <w:numPr>
                <w:ilvl w:val="0"/>
                <w:numId w:val="6"/>
              </w:numPr>
              <w:spacing w:line="259" w:lineRule="auto"/>
              <w:rPr>
                <w:rFonts w:ascii="Times New Roman" w:hAnsi="Times New Roman" w:cs="Times New Roman"/>
                <w:sz w:val="26"/>
                <w:szCs w:val="26"/>
              </w:rPr>
            </w:pPr>
            <w:r>
              <w:rPr>
                <w:rFonts w:ascii="Times New Roman" w:hAnsi="Times New Roman" w:cs="Times New Roman"/>
                <w:sz w:val="26"/>
                <w:szCs w:val="26"/>
              </w:rPr>
              <w:t>S</w:t>
            </w:r>
            <w:r w:rsidR="0055525B" w:rsidRPr="0055525B">
              <w:rPr>
                <w:rFonts w:ascii="Times New Roman" w:hAnsi="Times New Roman" w:cs="Times New Roman"/>
                <w:sz w:val="26"/>
                <w:szCs w:val="26"/>
              </w:rPr>
              <w:t>tate appropriations</w:t>
            </w:r>
          </w:p>
        </w:tc>
      </w:tr>
      <w:tr w:rsidR="0055525B" w:rsidRPr="0055525B" w:rsidTr="00C12685">
        <w:trPr>
          <w:jc w:val="center"/>
        </w:trPr>
        <w:tc>
          <w:tcPr>
            <w:tcW w:w="0" w:type="auto"/>
          </w:tcPr>
          <w:p w:rsidR="0055525B" w:rsidRPr="00BE3BBE" w:rsidRDefault="0055525B" w:rsidP="00225768">
            <w:pPr>
              <w:numPr>
                <w:ilvl w:val="0"/>
                <w:numId w:val="7"/>
              </w:numPr>
              <w:spacing w:line="259" w:lineRule="auto"/>
              <w:rPr>
                <w:rFonts w:ascii="Times New Roman" w:hAnsi="Times New Roman" w:cs="Times New Roman"/>
                <w:sz w:val="26"/>
                <w:szCs w:val="26"/>
              </w:rPr>
            </w:pPr>
            <w:r w:rsidRPr="00BE3BBE">
              <w:rPr>
                <w:rFonts w:ascii="Times New Roman" w:hAnsi="Times New Roman" w:cs="Times New Roman"/>
                <w:sz w:val="26"/>
                <w:szCs w:val="26"/>
              </w:rPr>
              <w:t>Mandatory fees</w:t>
            </w:r>
          </w:p>
        </w:tc>
        <w:tc>
          <w:tcPr>
            <w:tcW w:w="0" w:type="auto"/>
          </w:tcPr>
          <w:p w:rsidR="0055525B" w:rsidRPr="0055525B" w:rsidRDefault="00BE3BBE" w:rsidP="00225768">
            <w:pPr>
              <w:numPr>
                <w:ilvl w:val="0"/>
                <w:numId w:val="6"/>
              </w:numPr>
              <w:spacing w:line="259" w:lineRule="auto"/>
              <w:rPr>
                <w:rFonts w:ascii="Times New Roman" w:hAnsi="Times New Roman" w:cs="Times New Roman"/>
                <w:sz w:val="26"/>
                <w:szCs w:val="26"/>
              </w:rPr>
            </w:pPr>
            <w:r w:rsidRPr="0055525B">
              <w:rPr>
                <w:rFonts w:ascii="Times New Roman" w:hAnsi="Times New Roman" w:cs="Times New Roman"/>
                <w:sz w:val="26"/>
                <w:szCs w:val="26"/>
              </w:rPr>
              <w:t>Indirect cost recovery</w:t>
            </w:r>
          </w:p>
        </w:tc>
      </w:tr>
    </w:tbl>
    <w:p w:rsidR="0055525B" w:rsidRPr="0055525B" w:rsidRDefault="0055525B" w:rsidP="00225768">
      <w:pPr>
        <w:spacing w:after="0"/>
        <w:rPr>
          <w:rFonts w:ascii="Times New Roman" w:hAnsi="Times New Roman" w:cs="Times New Roman"/>
          <w:sz w:val="26"/>
          <w:szCs w:val="26"/>
        </w:rPr>
      </w:pPr>
    </w:p>
    <w:p w:rsidR="0055525B" w:rsidRPr="0055525B" w:rsidRDefault="0055525B" w:rsidP="0055525B">
      <w:pPr>
        <w:rPr>
          <w:rFonts w:ascii="Times New Roman" w:hAnsi="Times New Roman" w:cs="Times New Roman"/>
          <w:sz w:val="26"/>
          <w:szCs w:val="26"/>
        </w:rPr>
      </w:pPr>
      <w:r>
        <w:rPr>
          <w:rFonts w:ascii="Times New Roman" w:hAnsi="Times New Roman" w:cs="Times New Roman"/>
          <w:sz w:val="26"/>
          <w:szCs w:val="26"/>
        </w:rPr>
        <w:t>The proposed RCM</w:t>
      </w:r>
      <w:r w:rsidRPr="0055525B">
        <w:rPr>
          <w:rFonts w:ascii="Times New Roman" w:hAnsi="Times New Roman" w:cs="Times New Roman"/>
          <w:sz w:val="26"/>
          <w:szCs w:val="26"/>
        </w:rPr>
        <w:t xml:space="preserve"> model </w:t>
      </w:r>
      <w:r w:rsidR="00746F82">
        <w:rPr>
          <w:rFonts w:ascii="Times New Roman" w:hAnsi="Times New Roman" w:cs="Times New Roman"/>
          <w:sz w:val="26"/>
          <w:szCs w:val="26"/>
        </w:rPr>
        <w:t xml:space="preserve">does not </w:t>
      </w:r>
      <w:r w:rsidRPr="0055525B">
        <w:rPr>
          <w:rFonts w:ascii="Times New Roman" w:hAnsi="Times New Roman" w:cs="Times New Roman"/>
          <w:sz w:val="26"/>
          <w:szCs w:val="26"/>
        </w:rPr>
        <w:t>weight Student Credit</w:t>
      </w:r>
      <w:r w:rsidR="00746F82">
        <w:rPr>
          <w:rFonts w:ascii="Times New Roman" w:hAnsi="Times New Roman" w:cs="Times New Roman"/>
          <w:sz w:val="26"/>
          <w:szCs w:val="26"/>
        </w:rPr>
        <w:t xml:space="preserve"> </w:t>
      </w:r>
      <w:r w:rsidRPr="0055525B">
        <w:rPr>
          <w:rFonts w:ascii="Times New Roman" w:hAnsi="Times New Roman" w:cs="Times New Roman"/>
          <w:sz w:val="26"/>
          <w:szCs w:val="26"/>
        </w:rPr>
        <w:t>Hour</w:t>
      </w:r>
      <w:r w:rsidR="00746F82">
        <w:rPr>
          <w:rFonts w:ascii="Times New Roman" w:hAnsi="Times New Roman" w:cs="Times New Roman"/>
          <w:sz w:val="26"/>
          <w:szCs w:val="26"/>
        </w:rPr>
        <w:t>s (SCH), but the model does use an accounting of SCH to allocate tuition revenues to Colleges and Schools</w:t>
      </w:r>
      <w:r w:rsidRPr="0055525B">
        <w:rPr>
          <w:rFonts w:ascii="Times New Roman" w:hAnsi="Times New Roman" w:cs="Times New Roman"/>
          <w:sz w:val="26"/>
          <w:szCs w:val="26"/>
        </w:rPr>
        <w:t>. The model assumes that structural differences in the costs of instruction will be offset by direct revenue from any differential tuition that might be charged and/or the support that would be provided through a proposed “Mission Enhancement Fund.” The Mission Enhancement Fund is described in more detail, below.</w:t>
      </w:r>
    </w:p>
    <w:p w:rsidR="00225768" w:rsidRPr="0055525B" w:rsidRDefault="00225768"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Revenue Allocation: Gross Tuition</w:t>
      </w: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 xml:space="preserve">The three sources of gross tuition </w:t>
      </w:r>
      <w:r w:rsidR="00BE3BBE">
        <w:rPr>
          <w:rFonts w:ascii="Times New Roman" w:hAnsi="Times New Roman" w:cs="Times New Roman"/>
          <w:sz w:val="26"/>
          <w:szCs w:val="26"/>
        </w:rPr>
        <w:t xml:space="preserve">(Undergraduate, Graduate, Professional) </w:t>
      </w:r>
      <w:r w:rsidRPr="0055525B">
        <w:rPr>
          <w:rFonts w:ascii="Times New Roman" w:hAnsi="Times New Roman" w:cs="Times New Roman"/>
          <w:sz w:val="26"/>
          <w:szCs w:val="26"/>
        </w:rPr>
        <w:t>will be further divided into four separate allocation pools classifying tuition as being derived from either “Undergraduate” or “Graduate/Professional” students and further as generated from “Resident” or “Non-Resident” tuition. The table below displays the levels of instruction, residency classification, and the proposed allocation to the colleges from each.</w:t>
      </w:r>
      <w:r w:rsidR="002D7B5E">
        <w:rPr>
          <w:rFonts w:ascii="Times New Roman" w:hAnsi="Times New Roman" w:cs="Times New Roman"/>
          <w:sz w:val="26"/>
          <w:szCs w:val="26"/>
        </w:rPr>
        <w:t xml:space="preserve">  The </w:t>
      </w:r>
      <w:r w:rsidR="002D7B5E">
        <w:rPr>
          <w:rFonts w:ascii="Times New Roman" w:hAnsi="Times New Roman" w:cs="Times New Roman"/>
          <w:sz w:val="26"/>
          <w:szCs w:val="26"/>
        </w:rPr>
        <w:lastRenderedPageBreak/>
        <w:t>70/30 split is intended to support student services (recruitment, advising, retention) activities in the college of record while providing the college of instruction adequate resources to fund instructional activities.</w:t>
      </w:r>
      <w:r w:rsidR="002D7B5E" w:rsidRPr="0055525B">
        <w:rPr>
          <w:rFonts w:ascii="Times New Roman" w:hAnsi="Times New Roman" w:cs="Times New Roman"/>
          <w:sz w:val="26"/>
          <w:szCs w:val="26"/>
        </w:rPr>
        <w:t xml:space="preserve"> </w:t>
      </w:r>
    </w:p>
    <w:tbl>
      <w:tblPr>
        <w:tblStyle w:val="TableGrid"/>
        <w:tblW w:w="0" w:type="auto"/>
        <w:jc w:val="center"/>
        <w:tblLook w:val="04A0" w:firstRow="1" w:lastRow="0" w:firstColumn="1" w:lastColumn="0" w:noHBand="0" w:noVBand="1"/>
      </w:tblPr>
      <w:tblGrid>
        <w:gridCol w:w="2527"/>
        <w:gridCol w:w="1661"/>
        <w:gridCol w:w="3307"/>
      </w:tblGrid>
      <w:tr w:rsidR="0055525B" w:rsidRPr="0055525B" w:rsidTr="00C12685">
        <w:trPr>
          <w:jc w:val="center"/>
        </w:trPr>
        <w:tc>
          <w:tcPr>
            <w:tcW w:w="0" w:type="auto"/>
            <w:shd w:val="clear" w:color="auto" w:fill="F2F2F2" w:themeFill="background1" w:themeFillShade="F2"/>
            <w:vAlign w:val="center"/>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Level</w:t>
            </w:r>
          </w:p>
        </w:tc>
        <w:tc>
          <w:tcPr>
            <w:tcW w:w="0" w:type="auto"/>
            <w:shd w:val="clear" w:color="auto" w:fill="F2F2F2" w:themeFill="background1" w:themeFillShade="F2"/>
            <w:vAlign w:val="center"/>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Residency</w:t>
            </w: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Allocation</w:t>
            </w:r>
          </w:p>
        </w:tc>
      </w:tr>
      <w:tr w:rsidR="0055525B" w:rsidRPr="0055525B" w:rsidTr="00C12685">
        <w:trPr>
          <w:jc w:val="center"/>
        </w:trPr>
        <w:tc>
          <w:tcPr>
            <w:tcW w:w="0" w:type="auto"/>
            <w:vMerge w:val="restart"/>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Undergraduate</w:t>
            </w:r>
          </w:p>
        </w:tc>
        <w:tc>
          <w:tcPr>
            <w:tcW w:w="0" w:type="auto"/>
            <w:vMerge w:val="restart"/>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Resident</w:t>
            </w:r>
          </w:p>
        </w:tc>
        <w:tc>
          <w:tcPr>
            <w:tcW w:w="0" w:type="auto"/>
            <w:shd w:val="clear" w:color="auto" w:fill="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70% to College of Instruction</w:t>
            </w:r>
          </w:p>
        </w:tc>
      </w:tr>
      <w:tr w:rsidR="0055525B" w:rsidRPr="0055525B" w:rsidTr="00C12685">
        <w:trPr>
          <w:jc w:val="center"/>
        </w:trPr>
        <w:tc>
          <w:tcPr>
            <w:tcW w:w="0" w:type="auto"/>
            <w:vMerge/>
            <w:vAlign w:val="center"/>
          </w:tcPr>
          <w:p w:rsidR="0055525B" w:rsidRPr="0055525B" w:rsidRDefault="0055525B" w:rsidP="0055525B">
            <w:pPr>
              <w:spacing w:after="160" w:line="259" w:lineRule="auto"/>
              <w:rPr>
                <w:rFonts w:ascii="Times New Roman" w:hAnsi="Times New Roman" w:cs="Times New Roman"/>
                <w:sz w:val="26"/>
                <w:szCs w:val="26"/>
              </w:rPr>
            </w:pPr>
          </w:p>
        </w:tc>
        <w:tc>
          <w:tcPr>
            <w:tcW w:w="0" w:type="auto"/>
            <w:vMerge/>
            <w:vAlign w:val="center"/>
          </w:tcPr>
          <w:p w:rsidR="0055525B" w:rsidRPr="0055525B" w:rsidRDefault="0055525B" w:rsidP="0055525B">
            <w:pPr>
              <w:spacing w:after="160" w:line="259" w:lineRule="auto"/>
              <w:rPr>
                <w:rFonts w:ascii="Times New Roman" w:hAnsi="Times New Roman" w:cs="Times New Roman"/>
                <w:sz w:val="26"/>
                <w:szCs w:val="26"/>
              </w:rPr>
            </w:pP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30% to College of Record</w:t>
            </w:r>
          </w:p>
        </w:tc>
      </w:tr>
      <w:tr w:rsidR="0055525B" w:rsidRPr="0055525B" w:rsidTr="00C12685">
        <w:trPr>
          <w:jc w:val="center"/>
        </w:trPr>
        <w:tc>
          <w:tcPr>
            <w:tcW w:w="0" w:type="auto"/>
            <w:vMerge/>
            <w:vAlign w:val="center"/>
          </w:tcPr>
          <w:p w:rsidR="0055525B" w:rsidRPr="0055525B" w:rsidRDefault="0055525B" w:rsidP="0055525B">
            <w:pPr>
              <w:spacing w:after="160" w:line="259" w:lineRule="auto"/>
              <w:rPr>
                <w:rFonts w:ascii="Times New Roman" w:hAnsi="Times New Roman" w:cs="Times New Roman"/>
                <w:sz w:val="26"/>
                <w:szCs w:val="26"/>
              </w:rPr>
            </w:pPr>
          </w:p>
        </w:tc>
        <w:tc>
          <w:tcPr>
            <w:tcW w:w="0" w:type="auto"/>
            <w:vMerge w:val="restart"/>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Non-Resident</w:t>
            </w:r>
          </w:p>
        </w:tc>
        <w:tc>
          <w:tcPr>
            <w:tcW w:w="0" w:type="auto"/>
            <w:shd w:val="clear" w:color="auto" w:fill="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70% to College of Instruction</w:t>
            </w:r>
          </w:p>
        </w:tc>
      </w:tr>
      <w:tr w:rsidR="0055525B" w:rsidRPr="0055525B" w:rsidTr="00C12685">
        <w:trPr>
          <w:jc w:val="center"/>
        </w:trPr>
        <w:tc>
          <w:tcPr>
            <w:tcW w:w="0" w:type="auto"/>
            <w:vMerge/>
            <w:vAlign w:val="center"/>
          </w:tcPr>
          <w:p w:rsidR="0055525B" w:rsidRPr="0055525B" w:rsidRDefault="0055525B" w:rsidP="0055525B">
            <w:pPr>
              <w:spacing w:after="160" w:line="259" w:lineRule="auto"/>
              <w:rPr>
                <w:rFonts w:ascii="Times New Roman" w:hAnsi="Times New Roman" w:cs="Times New Roman"/>
                <w:sz w:val="26"/>
                <w:szCs w:val="26"/>
              </w:rPr>
            </w:pPr>
          </w:p>
        </w:tc>
        <w:tc>
          <w:tcPr>
            <w:tcW w:w="0" w:type="auto"/>
            <w:vMerge/>
          </w:tcPr>
          <w:p w:rsidR="0055525B" w:rsidRPr="0055525B" w:rsidRDefault="0055525B" w:rsidP="0055525B">
            <w:pPr>
              <w:spacing w:after="160" w:line="259" w:lineRule="auto"/>
              <w:rPr>
                <w:rFonts w:ascii="Times New Roman" w:hAnsi="Times New Roman" w:cs="Times New Roman"/>
                <w:sz w:val="26"/>
                <w:szCs w:val="26"/>
              </w:rPr>
            </w:pP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30% to College of Record</w:t>
            </w:r>
          </w:p>
        </w:tc>
      </w:tr>
      <w:tr w:rsidR="0055525B" w:rsidRPr="0055525B" w:rsidTr="00C12685">
        <w:trPr>
          <w:jc w:val="center"/>
        </w:trPr>
        <w:tc>
          <w:tcPr>
            <w:tcW w:w="0" w:type="auto"/>
            <w:vMerge w:val="restart"/>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Graduate/Professional</w:t>
            </w:r>
          </w:p>
        </w:tc>
        <w:tc>
          <w:tcPr>
            <w:tcW w:w="0" w:type="auto"/>
            <w:vMerge w:val="restart"/>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Resident</w:t>
            </w:r>
          </w:p>
        </w:tc>
        <w:tc>
          <w:tcPr>
            <w:tcW w:w="0" w:type="auto"/>
            <w:shd w:val="clear" w:color="auto" w:fill="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0% to College of Instruction</w:t>
            </w:r>
          </w:p>
        </w:tc>
      </w:tr>
      <w:tr w:rsidR="0055525B" w:rsidRPr="0055525B" w:rsidTr="00C12685">
        <w:trPr>
          <w:jc w:val="center"/>
        </w:trPr>
        <w:tc>
          <w:tcPr>
            <w:tcW w:w="0" w:type="auto"/>
            <w:vMerge/>
          </w:tcPr>
          <w:p w:rsidR="0055525B" w:rsidRPr="0055525B" w:rsidRDefault="0055525B" w:rsidP="0055525B">
            <w:pPr>
              <w:spacing w:after="160" w:line="259" w:lineRule="auto"/>
              <w:rPr>
                <w:rFonts w:ascii="Times New Roman" w:hAnsi="Times New Roman" w:cs="Times New Roman"/>
                <w:sz w:val="26"/>
                <w:szCs w:val="26"/>
              </w:rPr>
            </w:pPr>
          </w:p>
        </w:tc>
        <w:tc>
          <w:tcPr>
            <w:tcW w:w="0" w:type="auto"/>
            <w:vMerge/>
            <w:vAlign w:val="center"/>
          </w:tcPr>
          <w:p w:rsidR="0055525B" w:rsidRPr="0055525B" w:rsidRDefault="0055525B" w:rsidP="0055525B">
            <w:pPr>
              <w:spacing w:after="160" w:line="259" w:lineRule="auto"/>
              <w:rPr>
                <w:rFonts w:ascii="Times New Roman" w:hAnsi="Times New Roman" w:cs="Times New Roman"/>
                <w:sz w:val="26"/>
                <w:szCs w:val="26"/>
              </w:rPr>
            </w:pP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100% to College of Record</w:t>
            </w:r>
          </w:p>
        </w:tc>
      </w:tr>
      <w:tr w:rsidR="0055525B" w:rsidRPr="0055525B" w:rsidTr="00C12685">
        <w:trPr>
          <w:jc w:val="center"/>
        </w:trPr>
        <w:tc>
          <w:tcPr>
            <w:tcW w:w="0" w:type="auto"/>
            <w:vMerge/>
          </w:tcPr>
          <w:p w:rsidR="0055525B" w:rsidRPr="0055525B" w:rsidRDefault="0055525B" w:rsidP="0055525B">
            <w:pPr>
              <w:spacing w:after="160" w:line="259" w:lineRule="auto"/>
              <w:rPr>
                <w:rFonts w:ascii="Times New Roman" w:hAnsi="Times New Roman" w:cs="Times New Roman"/>
                <w:sz w:val="26"/>
                <w:szCs w:val="26"/>
              </w:rPr>
            </w:pPr>
          </w:p>
        </w:tc>
        <w:tc>
          <w:tcPr>
            <w:tcW w:w="0" w:type="auto"/>
            <w:vMerge w:val="restart"/>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Non-Resident</w:t>
            </w:r>
          </w:p>
        </w:tc>
        <w:tc>
          <w:tcPr>
            <w:tcW w:w="0" w:type="auto"/>
            <w:shd w:val="clear" w:color="auto" w:fill="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0% to College of Instruction</w:t>
            </w:r>
          </w:p>
        </w:tc>
      </w:tr>
      <w:tr w:rsidR="0055525B" w:rsidRPr="0055525B" w:rsidTr="00C12685">
        <w:trPr>
          <w:jc w:val="center"/>
        </w:trPr>
        <w:tc>
          <w:tcPr>
            <w:tcW w:w="0" w:type="auto"/>
            <w:vMerge/>
          </w:tcPr>
          <w:p w:rsidR="0055525B" w:rsidRPr="0055525B" w:rsidRDefault="0055525B" w:rsidP="0055525B">
            <w:pPr>
              <w:spacing w:after="160" w:line="259" w:lineRule="auto"/>
              <w:rPr>
                <w:rFonts w:ascii="Times New Roman" w:hAnsi="Times New Roman" w:cs="Times New Roman"/>
                <w:sz w:val="26"/>
                <w:szCs w:val="26"/>
              </w:rPr>
            </w:pPr>
          </w:p>
        </w:tc>
        <w:tc>
          <w:tcPr>
            <w:tcW w:w="0" w:type="auto"/>
            <w:vMerge/>
          </w:tcPr>
          <w:p w:rsidR="0055525B" w:rsidRPr="0055525B" w:rsidRDefault="0055525B" w:rsidP="0055525B">
            <w:pPr>
              <w:spacing w:after="160" w:line="259" w:lineRule="auto"/>
              <w:rPr>
                <w:rFonts w:ascii="Times New Roman" w:hAnsi="Times New Roman" w:cs="Times New Roman"/>
                <w:sz w:val="26"/>
                <w:szCs w:val="26"/>
              </w:rPr>
            </w:pP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100% to College of Record</w:t>
            </w:r>
          </w:p>
        </w:tc>
      </w:tr>
    </w:tbl>
    <w:p w:rsidR="00225768" w:rsidRDefault="00225768" w:rsidP="0055525B">
      <w:pPr>
        <w:rPr>
          <w:rFonts w:ascii="Times New Roman" w:hAnsi="Times New Roman" w:cs="Times New Roman"/>
          <w:b/>
          <w:sz w:val="26"/>
          <w:szCs w:val="26"/>
        </w:rPr>
      </w:pPr>
    </w:p>
    <w:p w:rsidR="0055525B" w:rsidRPr="00225768"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Revenue Allocation: Student Aid and Waivers</w:t>
      </w:r>
    </w:p>
    <w:p w:rsidR="0055525B" w:rsidRPr="0055525B" w:rsidRDefault="00BE3BBE" w:rsidP="0055525B">
      <w:pPr>
        <w:rPr>
          <w:rFonts w:ascii="Times New Roman" w:hAnsi="Times New Roman" w:cs="Times New Roman"/>
          <w:sz w:val="26"/>
          <w:szCs w:val="26"/>
        </w:rPr>
      </w:pPr>
      <w:r>
        <w:rPr>
          <w:rFonts w:ascii="Times New Roman" w:hAnsi="Times New Roman" w:cs="Times New Roman"/>
          <w:sz w:val="26"/>
          <w:szCs w:val="26"/>
        </w:rPr>
        <w:t>Under the proposed RCM</w:t>
      </w:r>
      <w:r w:rsidR="0055525B" w:rsidRPr="0055525B">
        <w:rPr>
          <w:rFonts w:ascii="Times New Roman" w:hAnsi="Times New Roman" w:cs="Times New Roman"/>
          <w:sz w:val="26"/>
          <w:szCs w:val="26"/>
        </w:rPr>
        <w:t xml:space="preserve"> model, “Gross Tuition” is defined as the total of all tuition that would be collected, if every student paid tuition</w:t>
      </w:r>
      <w:r w:rsidR="006550D4">
        <w:rPr>
          <w:rFonts w:ascii="Times New Roman" w:hAnsi="Times New Roman" w:cs="Times New Roman"/>
          <w:sz w:val="26"/>
          <w:szCs w:val="26"/>
        </w:rPr>
        <w:t xml:space="preserve"> at the published rate</w:t>
      </w:r>
      <w:r w:rsidR="0055525B" w:rsidRPr="0055525B">
        <w:rPr>
          <w:rFonts w:ascii="Times New Roman" w:hAnsi="Times New Roman" w:cs="Times New Roman"/>
          <w:sz w:val="26"/>
          <w:szCs w:val="26"/>
        </w:rPr>
        <w:t xml:space="preserve">. Total gross tuition is offset by the amount the university decides to spend on student aid and waivers. The respective reduction of gross tuition and the amount of the reduction assigned a college is dependent upon the level of </w:t>
      </w:r>
      <w:r w:rsidR="00E63CD7">
        <w:rPr>
          <w:rFonts w:ascii="Times New Roman" w:hAnsi="Times New Roman" w:cs="Times New Roman"/>
          <w:sz w:val="26"/>
          <w:szCs w:val="26"/>
        </w:rPr>
        <w:t xml:space="preserve">gross </w:t>
      </w:r>
      <w:r w:rsidR="0055525B" w:rsidRPr="0055525B">
        <w:rPr>
          <w:rFonts w:ascii="Times New Roman" w:hAnsi="Times New Roman" w:cs="Times New Roman"/>
          <w:sz w:val="26"/>
          <w:szCs w:val="26"/>
        </w:rPr>
        <w:t>tuition</w:t>
      </w:r>
      <w:r w:rsidR="00E63CD7">
        <w:rPr>
          <w:rFonts w:ascii="Times New Roman" w:hAnsi="Times New Roman" w:cs="Times New Roman"/>
          <w:sz w:val="26"/>
          <w:szCs w:val="26"/>
        </w:rPr>
        <w:t xml:space="preserve"> allocated to that college</w:t>
      </w:r>
      <w:r w:rsidR="0055525B" w:rsidRPr="0055525B">
        <w:rPr>
          <w:rFonts w:ascii="Times New Roman" w:hAnsi="Times New Roman" w:cs="Times New Roman"/>
          <w:sz w:val="26"/>
          <w:szCs w:val="26"/>
        </w:rPr>
        <w:t>. Student aid and undergraduate tuition waivers are considered to be contributive to the common good of the University. The decision to award them is made by central administration. The allocation of the cost of student aid and undergraduate tuition waivers assigned to a college is based upon each college’s share of gross undergraduate tuition. Conversely, graduate tuition waivers are considered to be contributive to the good of the respective college or school where it is awarded. The decision to award them is made by the college or school and the allocation of the cost of graduate tuition waivers is based upon each college or school’s share of the waivers it actually awards.</w:t>
      </w:r>
    </w:p>
    <w:tbl>
      <w:tblPr>
        <w:tblStyle w:val="TableGrid"/>
        <w:tblW w:w="10272" w:type="dxa"/>
        <w:jc w:val="center"/>
        <w:tblInd w:w="-171" w:type="dxa"/>
        <w:tblLook w:val="04A0" w:firstRow="1" w:lastRow="0" w:firstColumn="1" w:lastColumn="0" w:noHBand="0" w:noVBand="1"/>
      </w:tblPr>
      <w:tblGrid>
        <w:gridCol w:w="2529"/>
        <w:gridCol w:w="2880"/>
        <w:gridCol w:w="4863"/>
      </w:tblGrid>
      <w:tr w:rsidR="0055525B" w:rsidRPr="0055525B" w:rsidTr="005270E1">
        <w:trPr>
          <w:jc w:val="center"/>
        </w:trPr>
        <w:tc>
          <w:tcPr>
            <w:tcW w:w="2529" w:type="dxa"/>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Expense</w:t>
            </w:r>
          </w:p>
        </w:tc>
        <w:tc>
          <w:tcPr>
            <w:tcW w:w="2880" w:type="dxa"/>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Consideration</w:t>
            </w:r>
          </w:p>
        </w:tc>
        <w:tc>
          <w:tcPr>
            <w:tcW w:w="4863" w:type="dxa"/>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Cost Assignment</w:t>
            </w:r>
          </w:p>
        </w:tc>
      </w:tr>
      <w:tr w:rsidR="0055525B" w:rsidRPr="0055525B" w:rsidTr="005270E1">
        <w:trPr>
          <w:jc w:val="center"/>
        </w:trPr>
        <w:tc>
          <w:tcPr>
            <w:tcW w:w="2529" w:type="dxa"/>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Student Aid</w:t>
            </w:r>
          </w:p>
        </w:tc>
        <w:tc>
          <w:tcPr>
            <w:tcW w:w="2880" w:type="dxa"/>
            <w:vMerge w:val="restart"/>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Decision to award is made centrally by Administration</w:t>
            </w:r>
          </w:p>
        </w:tc>
        <w:tc>
          <w:tcPr>
            <w:tcW w:w="4863" w:type="dxa"/>
            <w:vMerge w:val="restart"/>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Share assigned to college/school is based on its share of gross undergraduate tuition.</w:t>
            </w:r>
          </w:p>
        </w:tc>
      </w:tr>
      <w:tr w:rsidR="0055525B" w:rsidRPr="0055525B" w:rsidTr="005270E1">
        <w:trPr>
          <w:jc w:val="center"/>
        </w:trPr>
        <w:tc>
          <w:tcPr>
            <w:tcW w:w="2529" w:type="dxa"/>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Undergraduate Waivers</w:t>
            </w:r>
          </w:p>
        </w:tc>
        <w:tc>
          <w:tcPr>
            <w:tcW w:w="2880" w:type="dxa"/>
            <w:vMerge/>
          </w:tcPr>
          <w:p w:rsidR="0055525B" w:rsidRPr="0055525B" w:rsidRDefault="0055525B" w:rsidP="0055525B">
            <w:pPr>
              <w:spacing w:after="160" w:line="259" w:lineRule="auto"/>
              <w:rPr>
                <w:rFonts w:ascii="Times New Roman" w:hAnsi="Times New Roman" w:cs="Times New Roman"/>
                <w:sz w:val="26"/>
                <w:szCs w:val="26"/>
              </w:rPr>
            </w:pPr>
          </w:p>
        </w:tc>
        <w:tc>
          <w:tcPr>
            <w:tcW w:w="4863" w:type="dxa"/>
            <w:vMerge/>
          </w:tcPr>
          <w:p w:rsidR="0055525B" w:rsidRPr="0055525B" w:rsidRDefault="0055525B" w:rsidP="0055525B">
            <w:pPr>
              <w:spacing w:after="160" w:line="259" w:lineRule="auto"/>
              <w:rPr>
                <w:rFonts w:ascii="Times New Roman" w:hAnsi="Times New Roman" w:cs="Times New Roman"/>
                <w:sz w:val="26"/>
                <w:szCs w:val="26"/>
              </w:rPr>
            </w:pPr>
          </w:p>
        </w:tc>
      </w:tr>
      <w:tr w:rsidR="0055525B" w:rsidRPr="0055525B" w:rsidTr="005270E1">
        <w:trPr>
          <w:jc w:val="center"/>
        </w:trPr>
        <w:tc>
          <w:tcPr>
            <w:tcW w:w="2529" w:type="dxa"/>
            <w:vAlign w:val="center"/>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Graduate Waivers</w:t>
            </w:r>
          </w:p>
        </w:tc>
        <w:tc>
          <w:tcPr>
            <w:tcW w:w="2880" w:type="dxa"/>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Decision to award is made by college or school awarding</w:t>
            </w:r>
          </w:p>
        </w:tc>
        <w:tc>
          <w:tcPr>
            <w:tcW w:w="4863" w:type="dxa"/>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Share assigned is based on actual waivers awarded by a college/school</w:t>
            </w:r>
          </w:p>
        </w:tc>
      </w:tr>
    </w:tbl>
    <w:p w:rsidR="0055525B" w:rsidRPr="0055525B" w:rsidRDefault="0055525B"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Revenue Allocation: Division 1 Appropriation</w:t>
      </w:r>
    </w:p>
    <w:p w:rsidR="00BA4592"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 xml:space="preserve">As a state institution, the University has an obligation to advance the level of preparedness of its residents to advance and improve the state’s economy. To that end, the Division 1 State Appropriations to the University are proposed </w:t>
      </w:r>
      <w:r w:rsidR="00BE3BBE">
        <w:rPr>
          <w:rFonts w:ascii="Times New Roman" w:hAnsi="Times New Roman" w:cs="Times New Roman"/>
          <w:sz w:val="26"/>
          <w:szCs w:val="26"/>
        </w:rPr>
        <w:t>under the RCM</w:t>
      </w:r>
      <w:r w:rsidRPr="0055525B">
        <w:rPr>
          <w:rFonts w:ascii="Times New Roman" w:hAnsi="Times New Roman" w:cs="Times New Roman"/>
          <w:sz w:val="26"/>
          <w:szCs w:val="26"/>
        </w:rPr>
        <w:t xml:space="preserve"> model to be divided 70% to resident instruction and academic support and 30% to sponsored programs support. The allocation of resident instruction and academic support to the colleges is based upon a college’s calculated share of gross resident tuition. The allocation of sponsored programs support to the colleges is based upon a college’s share of total sponsored program direct revenues. </w:t>
      </w:r>
    </w:p>
    <w:p w:rsidR="008113BA" w:rsidRPr="0055525B" w:rsidRDefault="008113BA" w:rsidP="0055525B">
      <w:pPr>
        <w:rPr>
          <w:rFonts w:ascii="Times New Roman" w:hAnsi="Times New Roman" w:cs="Times New Roman"/>
          <w:sz w:val="26"/>
          <w:szCs w:val="26"/>
        </w:rPr>
      </w:pPr>
    </w:p>
    <w:p w:rsidR="0055525B" w:rsidRPr="00BA4592"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Revenue Allocation: Indirect Cost Recovery</w:t>
      </w:r>
    </w:p>
    <w:p w:rsidR="0055525B" w:rsidRPr="00BA4592"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 xml:space="preserve">Under the currently implemented budget model, indirect costs recovered by units accomplishing work under sponsored programs are only partially allocated back to the </w:t>
      </w:r>
      <w:r w:rsidR="00BE3BBE">
        <w:rPr>
          <w:rFonts w:ascii="Times New Roman" w:hAnsi="Times New Roman" w:cs="Times New Roman"/>
          <w:sz w:val="26"/>
          <w:szCs w:val="26"/>
        </w:rPr>
        <w:t>unit</w:t>
      </w:r>
      <w:r w:rsidR="00F561C2">
        <w:rPr>
          <w:rFonts w:ascii="Times New Roman" w:hAnsi="Times New Roman" w:cs="Times New Roman"/>
          <w:sz w:val="26"/>
          <w:szCs w:val="26"/>
        </w:rPr>
        <w:t xml:space="preserve"> generating the sponsored revenue</w:t>
      </w:r>
      <w:r w:rsidR="00BE3BBE">
        <w:rPr>
          <w:rFonts w:ascii="Times New Roman" w:hAnsi="Times New Roman" w:cs="Times New Roman"/>
          <w:sz w:val="26"/>
          <w:szCs w:val="26"/>
        </w:rPr>
        <w:t>. The proposed RCM</w:t>
      </w:r>
      <w:r w:rsidRPr="0055525B">
        <w:rPr>
          <w:rFonts w:ascii="Times New Roman" w:hAnsi="Times New Roman" w:cs="Times New Roman"/>
          <w:sz w:val="26"/>
          <w:szCs w:val="26"/>
        </w:rPr>
        <w:t xml:space="preserve"> model will allocate 100% of the sponsored program’s indirect costs recovered back to the recovering unit.</w:t>
      </w:r>
    </w:p>
    <w:p w:rsidR="008113BA" w:rsidRDefault="008113BA" w:rsidP="0055525B">
      <w:pPr>
        <w:rPr>
          <w:rFonts w:ascii="Times New Roman" w:hAnsi="Times New Roman" w:cs="Times New Roman"/>
          <w:b/>
          <w:sz w:val="26"/>
          <w:szCs w:val="26"/>
        </w:rPr>
      </w:pPr>
    </w:p>
    <w:p w:rsidR="0055525B" w:rsidRPr="00BA4592"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Expenditures</w:t>
      </w: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 xml:space="preserve">As with revenues, the budget model that is currently </w:t>
      </w:r>
      <w:r w:rsidR="00BA4592">
        <w:rPr>
          <w:rFonts w:ascii="Times New Roman" w:hAnsi="Times New Roman" w:cs="Times New Roman"/>
          <w:sz w:val="26"/>
          <w:szCs w:val="26"/>
        </w:rPr>
        <w:t>being used</w:t>
      </w:r>
      <w:r w:rsidRPr="0055525B">
        <w:rPr>
          <w:rFonts w:ascii="Times New Roman" w:hAnsi="Times New Roman" w:cs="Times New Roman"/>
          <w:sz w:val="26"/>
          <w:szCs w:val="26"/>
        </w:rPr>
        <w:t xml:space="preserve"> does not address certain expenditures. </w:t>
      </w:r>
      <w:r w:rsidR="00B63178">
        <w:rPr>
          <w:rFonts w:ascii="Times New Roman" w:hAnsi="Times New Roman" w:cs="Times New Roman"/>
          <w:sz w:val="26"/>
          <w:szCs w:val="26"/>
        </w:rPr>
        <w:t xml:space="preserve">For example, </w:t>
      </w:r>
      <w:r w:rsidR="00B63178" w:rsidRPr="0055525B">
        <w:rPr>
          <w:rFonts w:ascii="Times New Roman" w:hAnsi="Times New Roman" w:cs="Times New Roman"/>
          <w:sz w:val="26"/>
          <w:szCs w:val="26"/>
        </w:rPr>
        <w:t xml:space="preserve">restricted funds are </w:t>
      </w:r>
      <w:r w:rsidR="00B63178">
        <w:rPr>
          <w:rFonts w:ascii="Times New Roman" w:hAnsi="Times New Roman" w:cs="Times New Roman"/>
          <w:sz w:val="26"/>
          <w:szCs w:val="26"/>
        </w:rPr>
        <w:t xml:space="preserve">presently </w:t>
      </w:r>
      <w:r w:rsidR="00B63178" w:rsidRPr="0055525B">
        <w:rPr>
          <w:rFonts w:ascii="Times New Roman" w:hAnsi="Times New Roman" w:cs="Times New Roman"/>
          <w:sz w:val="26"/>
          <w:szCs w:val="26"/>
        </w:rPr>
        <w:t>not budgeted</w:t>
      </w:r>
      <w:r w:rsidR="00F561C2">
        <w:rPr>
          <w:rFonts w:ascii="Times New Roman" w:hAnsi="Times New Roman" w:cs="Times New Roman"/>
          <w:sz w:val="26"/>
          <w:szCs w:val="26"/>
        </w:rPr>
        <w:t xml:space="preserve"> at the school/college level</w:t>
      </w:r>
      <w:r w:rsidR="00B63178" w:rsidRPr="0055525B">
        <w:rPr>
          <w:rFonts w:ascii="Times New Roman" w:hAnsi="Times New Roman" w:cs="Times New Roman"/>
          <w:sz w:val="26"/>
          <w:szCs w:val="26"/>
        </w:rPr>
        <w:t xml:space="preserve">. </w:t>
      </w:r>
      <w:r w:rsidR="00B63178">
        <w:rPr>
          <w:rFonts w:ascii="Times New Roman" w:hAnsi="Times New Roman" w:cs="Times New Roman"/>
          <w:sz w:val="26"/>
          <w:szCs w:val="26"/>
        </w:rPr>
        <w:t>As mentioned above, the proposed RCM</w:t>
      </w:r>
      <w:r w:rsidRPr="0055525B">
        <w:rPr>
          <w:rFonts w:ascii="Times New Roman" w:hAnsi="Times New Roman" w:cs="Times New Roman"/>
          <w:sz w:val="26"/>
          <w:szCs w:val="26"/>
        </w:rPr>
        <w:t xml:space="preserve"> model will employ an “All Funds Approach” in which all funds will be budgeted and included in the University’s overall budget. Within the individual </w:t>
      </w:r>
      <w:r w:rsidR="00B63178">
        <w:rPr>
          <w:rFonts w:ascii="Times New Roman" w:hAnsi="Times New Roman" w:cs="Times New Roman"/>
          <w:sz w:val="26"/>
          <w:szCs w:val="26"/>
        </w:rPr>
        <w:t xml:space="preserve">(College/School) </w:t>
      </w:r>
      <w:r w:rsidRPr="0055525B">
        <w:rPr>
          <w:rFonts w:ascii="Times New Roman" w:hAnsi="Times New Roman" w:cs="Times New Roman"/>
          <w:sz w:val="26"/>
          <w:szCs w:val="26"/>
        </w:rPr>
        <w:t xml:space="preserve">budgets, both direct and indirect expenses will be included. Expenditures will be classified as either “Direct Expenses,” which are included in the current model, or “Allocated Expenses,” which are not. </w:t>
      </w:r>
    </w:p>
    <w:p w:rsidR="00DF3865" w:rsidRDefault="00DF3865"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Direct expenses include the following examples:</w:t>
      </w:r>
    </w:p>
    <w:p w:rsidR="00933188" w:rsidRDefault="00BA4592" w:rsidP="00933188">
      <w:pPr>
        <w:pStyle w:val="ListParagraph"/>
        <w:numPr>
          <w:ilvl w:val="0"/>
          <w:numId w:val="6"/>
        </w:numPr>
        <w:tabs>
          <w:tab w:val="left" w:pos="4293"/>
        </w:tabs>
        <w:rPr>
          <w:rFonts w:ascii="Times New Roman" w:hAnsi="Times New Roman" w:cs="Times New Roman"/>
          <w:sz w:val="26"/>
          <w:szCs w:val="26"/>
        </w:rPr>
      </w:pPr>
      <w:r w:rsidRPr="00933188">
        <w:rPr>
          <w:rFonts w:ascii="Times New Roman" w:hAnsi="Times New Roman" w:cs="Times New Roman"/>
          <w:sz w:val="26"/>
          <w:szCs w:val="26"/>
        </w:rPr>
        <w:t>Salaries, wages, and benefits</w:t>
      </w:r>
    </w:p>
    <w:p w:rsidR="00933188" w:rsidRDefault="00BA4592" w:rsidP="00933188">
      <w:pPr>
        <w:pStyle w:val="ListParagraph"/>
        <w:numPr>
          <w:ilvl w:val="0"/>
          <w:numId w:val="6"/>
        </w:numPr>
        <w:tabs>
          <w:tab w:val="left" w:pos="4293"/>
        </w:tabs>
        <w:rPr>
          <w:rFonts w:ascii="Times New Roman" w:hAnsi="Times New Roman" w:cs="Times New Roman"/>
          <w:sz w:val="26"/>
          <w:szCs w:val="26"/>
        </w:rPr>
      </w:pPr>
      <w:r w:rsidRPr="00933188">
        <w:rPr>
          <w:rFonts w:ascii="Times New Roman" w:hAnsi="Times New Roman" w:cs="Times New Roman"/>
          <w:sz w:val="26"/>
          <w:szCs w:val="26"/>
        </w:rPr>
        <w:t>Equipment and supplies</w:t>
      </w:r>
    </w:p>
    <w:p w:rsidR="00933188" w:rsidRDefault="00BA4592" w:rsidP="00933188">
      <w:pPr>
        <w:pStyle w:val="ListParagraph"/>
        <w:numPr>
          <w:ilvl w:val="0"/>
          <w:numId w:val="6"/>
        </w:numPr>
        <w:tabs>
          <w:tab w:val="left" w:pos="4293"/>
        </w:tabs>
        <w:rPr>
          <w:rFonts w:ascii="Times New Roman" w:hAnsi="Times New Roman" w:cs="Times New Roman"/>
          <w:sz w:val="26"/>
          <w:szCs w:val="26"/>
        </w:rPr>
      </w:pPr>
      <w:r w:rsidRPr="00933188">
        <w:rPr>
          <w:rFonts w:ascii="Times New Roman" w:hAnsi="Times New Roman" w:cs="Times New Roman"/>
          <w:sz w:val="26"/>
          <w:szCs w:val="26"/>
        </w:rPr>
        <w:t>Repairs and maintenance</w:t>
      </w:r>
    </w:p>
    <w:p w:rsidR="00933188" w:rsidRDefault="00BA4592" w:rsidP="00933188">
      <w:pPr>
        <w:pStyle w:val="ListParagraph"/>
        <w:numPr>
          <w:ilvl w:val="0"/>
          <w:numId w:val="6"/>
        </w:numPr>
        <w:tabs>
          <w:tab w:val="left" w:pos="4293"/>
        </w:tabs>
        <w:rPr>
          <w:rFonts w:ascii="Times New Roman" w:hAnsi="Times New Roman" w:cs="Times New Roman"/>
          <w:sz w:val="26"/>
          <w:szCs w:val="26"/>
        </w:rPr>
      </w:pPr>
      <w:r w:rsidRPr="00933188">
        <w:rPr>
          <w:rFonts w:ascii="Times New Roman" w:hAnsi="Times New Roman" w:cs="Times New Roman"/>
          <w:sz w:val="26"/>
          <w:szCs w:val="26"/>
        </w:rPr>
        <w:t>Travel</w:t>
      </w:r>
    </w:p>
    <w:p w:rsidR="00BA4592" w:rsidRPr="00933188" w:rsidRDefault="00BA4592" w:rsidP="00933188">
      <w:pPr>
        <w:pStyle w:val="ListParagraph"/>
        <w:numPr>
          <w:ilvl w:val="0"/>
          <w:numId w:val="6"/>
        </w:numPr>
        <w:tabs>
          <w:tab w:val="left" w:pos="4293"/>
        </w:tabs>
        <w:rPr>
          <w:rFonts w:ascii="Times New Roman" w:hAnsi="Times New Roman" w:cs="Times New Roman"/>
          <w:sz w:val="26"/>
          <w:szCs w:val="26"/>
        </w:rPr>
      </w:pPr>
      <w:r w:rsidRPr="00933188">
        <w:rPr>
          <w:rFonts w:ascii="Times New Roman" w:hAnsi="Times New Roman" w:cs="Times New Roman"/>
          <w:sz w:val="26"/>
          <w:szCs w:val="26"/>
        </w:rPr>
        <w:t>Other expenses</w:t>
      </w:r>
    </w:p>
    <w:p w:rsidR="0055525B" w:rsidRPr="0055525B" w:rsidRDefault="0055525B" w:rsidP="0055525B">
      <w:pPr>
        <w:rPr>
          <w:rFonts w:ascii="Times New Roman" w:hAnsi="Times New Roman" w:cs="Times New Roman"/>
          <w:sz w:val="26"/>
          <w:szCs w:val="26"/>
        </w:rPr>
      </w:pPr>
    </w:p>
    <w:p w:rsidR="0055525B" w:rsidRPr="0055525B" w:rsidRDefault="00B63178" w:rsidP="0055525B">
      <w:pPr>
        <w:rPr>
          <w:rFonts w:ascii="Times New Roman" w:hAnsi="Times New Roman" w:cs="Times New Roman"/>
          <w:sz w:val="26"/>
          <w:szCs w:val="26"/>
        </w:rPr>
      </w:pPr>
      <w:r>
        <w:rPr>
          <w:rFonts w:ascii="Times New Roman" w:hAnsi="Times New Roman" w:cs="Times New Roman"/>
          <w:sz w:val="26"/>
          <w:szCs w:val="26"/>
        </w:rPr>
        <w:t>The proposed RCM</w:t>
      </w:r>
      <w:r w:rsidR="0055525B" w:rsidRPr="0055525B">
        <w:rPr>
          <w:rFonts w:ascii="Times New Roman" w:hAnsi="Times New Roman" w:cs="Times New Roman"/>
          <w:sz w:val="26"/>
          <w:szCs w:val="26"/>
        </w:rPr>
        <w:t xml:space="preserve"> model will </w:t>
      </w:r>
      <w:r w:rsidR="0055525B" w:rsidRPr="00B63178">
        <w:rPr>
          <w:rFonts w:ascii="Times New Roman" w:hAnsi="Times New Roman" w:cs="Times New Roman"/>
          <w:i/>
          <w:sz w:val="26"/>
          <w:szCs w:val="26"/>
        </w:rPr>
        <w:t>allocate</w:t>
      </w:r>
      <w:r w:rsidR="0055525B" w:rsidRPr="0055525B">
        <w:rPr>
          <w:rFonts w:ascii="Times New Roman" w:hAnsi="Times New Roman" w:cs="Times New Roman"/>
          <w:sz w:val="26"/>
          <w:szCs w:val="26"/>
        </w:rPr>
        <w:t xml:space="preserve"> the indirect expense of administration and the costs of support services. These costs will be pooled and allocated to the colleges. The administrative and central support units will not allocate their costs to one another in the </w:t>
      </w:r>
      <w:r w:rsidR="0055525B" w:rsidRPr="0055525B">
        <w:rPr>
          <w:rFonts w:ascii="Times New Roman" w:hAnsi="Times New Roman" w:cs="Times New Roman"/>
          <w:sz w:val="26"/>
          <w:szCs w:val="26"/>
        </w:rPr>
        <w:lastRenderedPageBreak/>
        <w:t>process. Exemptions from this assessment of indirect and support service costs will not be permitted. Allocated expenditures will include the following:</w:t>
      </w:r>
    </w:p>
    <w:p w:rsidR="00933188" w:rsidRPr="0055525B" w:rsidRDefault="00933188" w:rsidP="00933188">
      <w:pPr>
        <w:numPr>
          <w:ilvl w:val="0"/>
          <w:numId w:val="6"/>
        </w:numPr>
        <w:spacing w:after="0" w:line="240" w:lineRule="auto"/>
        <w:rPr>
          <w:rFonts w:ascii="Times New Roman" w:hAnsi="Times New Roman" w:cs="Times New Roman"/>
          <w:sz w:val="26"/>
          <w:szCs w:val="26"/>
        </w:rPr>
      </w:pPr>
      <w:r w:rsidRPr="0055525B">
        <w:rPr>
          <w:rFonts w:ascii="Times New Roman" w:hAnsi="Times New Roman" w:cs="Times New Roman"/>
          <w:sz w:val="26"/>
          <w:szCs w:val="26"/>
        </w:rPr>
        <w:t>Allocated central unit expenses</w:t>
      </w:r>
    </w:p>
    <w:p w:rsidR="00933188" w:rsidRPr="0055525B" w:rsidRDefault="00933188" w:rsidP="00933188">
      <w:pPr>
        <w:numPr>
          <w:ilvl w:val="0"/>
          <w:numId w:val="6"/>
        </w:numPr>
        <w:spacing w:after="0" w:line="240" w:lineRule="auto"/>
        <w:rPr>
          <w:rFonts w:ascii="Times New Roman" w:hAnsi="Times New Roman" w:cs="Times New Roman"/>
          <w:sz w:val="26"/>
          <w:szCs w:val="26"/>
        </w:rPr>
      </w:pPr>
      <w:r w:rsidRPr="0055525B">
        <w:rPr>
          <w:rFonts w:ascii="Times New Roman" w:hAnsi="Times New Roman" w:cs="Times New Roman"/>
          <w:sz w:val="26"/>
          <w:szCs w:val="26"/>
        </w:rPr>
        <w:t>Return to net assets</w:t>
      </w:r>
    </w:p>
    <w:p w:rsidR="00933188" w:rsidRPr="0055525B" w:rsidRDefault="00933188" w:rsidP="00933188">
      <w:pPr>
        <w:numPr>
          <w:ilvl w:val="0"/>
          <w:numId w:val="6"/>
        </w:numPr>
        <w:spacing w:after="0" w:line="240" w:lineRule="auto"/>
        <w:rPr>
          <w:rFonts w:ascii="Times New Roman" w:hAnsi="Times New Roman" w:cs="Times New Roman"/>
          <w:sz w:val="26"/>
          <w:szCs w:val="26"/>
        </w:rPr>
      </w:pPr>
      <w:r w:rsidRPr="0055525B">
        <w:rPr>
          <w:rFonts w:ascii="Times New Roman" w:hAnsi="Times New Roman" w:cs="Times New Roman"/>
          <w:sz w:val="26"/>
          <w:szCs w:val="26"/>
        </w:rPr>
        <w:t>Mission Enhancement Fund</w:t>
      </w:r>
    </w:p>
    <w:p w:rsidR="0055525B" w:rsidRPr="0055525B" w:rsidRDefault="0055525B" w:rsidP="0055525B">
      <w:pPr>
        <w:rPr>
          <w:rFonts w:ascii="Times New Roman" w:hAnsi="Times New Roman" w:cs="Times New Roman"/>
          <w:sz w:val="26"/>
          <w:szCs w:val="26"/>
        </w:rPr>
      </w:pPr>
    </w:p>
    <w:p w:rsidR="00DF3865" w:rsidRDefault="00DF3865"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Six cost pools</w:t>
      </w:r>
      <w:r w:rsidR="006F759E">
        <w:rPr>
          <w:rFonts w:ascii="Times New Roman" w:hAnsi="Times New Roman" w:cs="Times New Roman"/>
          <w:sz w:val="26"/>
          <w:szCs w:val="26"/>
        </w:rPr>
        <w:t xml:space="preserve"> (Central Support Pools – CSPs)</w:t>
      </w:r>
      <w:r w:rsidRPr="0055525B">
        <w:rPr>
          <w:rFonts w:ascii="Times New Roman" w:hAnsi="Times New Roman" w:cs="Times New Roman"/>
          <w:sz w:val="26"/>
          <w:szCs w:val="26"/>
        </w:rPr>
        <w:t xml:space="preserve"> will be created, with each pool grouping the expense of related central support units. The pools will then be allocated to the colleges, schools, divisions, and auxiliaries using an allocation base for the services represented in the pool. The proposed cost pools and their respective allocation bases are:</w:t>
      </w:r>
    </w:p>
    <w:p w:rsidR="0055525B" w:rsidRPr="0055525B" w:rsidRDefault="0055525B" w:rsidP="0055525B">
      <w:pPr>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4787"/>
        <w:gridCol w:w="3503"/>
      </w:tblGrid>
      <w:tr w:rsidR="0055525B" w:rsidRPr="0055525B" w:rsidTr="00C12685">
        <w:trPr>
          <w:jc w:val="center"/>
        </w:trPr>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Central Support Pool</w:t>
            </w: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Allocation Base</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Academic and student services</w:t>
            </w:r>
          </w:p>
          <w:p w:rsidR="0055525B" w:rsidRPr="0055525B" w:rsidRDefault="0055525B" w:rsidP="0055525B">
            <w:pPr>
              <w:spacing w:after="160" w:line="259" w:lineRule="auto"/>
              <w:rPr>
                <w:rFonts w:ascii="Times New Roman" w:hAnsi="Times New Roman" w:cs="Times New Roman"/>
                <w:i/>
                <w:sz w:val="26"/>
                <w:szCs w:val="26"/>
              </w:rPr>
            </w:pPr>
            <w:r w:rsidRPr="0055525B">
              <w:rPr>
                <w:rFonts w:ascii="Times New Roman" w:hAnsi="Times New Roman" w:cs="Times New Roman"/>
                <w:i/>
                <w:sz w:val="26"/>
                <w:szCs w:val="26"/>
              </w:rPr>
              <w:t>Examples: Libraries, Student Affairs</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Credit hours taught</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Administration</w:t>
            </w:r>
          </w:p>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i/>
                <w:sz w:val="26"/>
                <w:szCs w:val="26"/>
              </w:rPr>
              <w:t>Ex:</w:t>
            </w:r>
            <w:r w:rsidR="006F759E">
              <w:rPr>
                <w:rFonts w:ascii="Times New Roman" w:hAnsi="Times New Roman" w:cs="Times New Roman"/>
                <w:i/>
                <w:sz w:val="26"/>
                <w:szCs w:val="26"/>
              </w:rPr>
              <w:t xml:space="preserve"> </w:t>
            </w:r>
            <w:r w:rsidRPr="0055525B">
              <w:rPr>
                <w:rFonts w:ascii="Times New Roman" w:hAnsi="Times New Roman" w:cs="Times New Roman"/>
                <w:i/>
                <w:sz w:val="26"/>
                <w:szCs w:val="26"/>
              </w:rPr>
              <w:t>President’s Office, EVPs Office</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Total direct expenses</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Alumni affairs and development</w:t>
            </w:r>
          </w:p>
          <w:p w:rsidR="0055525B" w:rsidRPr="0055525B" w:rsidRDefault="0055525B" w:rsidP="0055525B">
            <w:pPr>
              <w:spacing w:after="160" w:line="259" w:lineRule="auto"/>
              <w:rPr>
                <w:rFonts w:ascii="Times New Roman" w:hAnsi="Times New Roman" w:cs="Times New Roman"/>
                <w:sz w:val="26"/>
                <w:szCs w:val="26"/>
              </w:rPr>
            </w:pP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Student headcount</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Facilities</w:t>
            </w:r>
          </w:p>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i/>
                <w:sz w:val="26"/>
                <w:szCs w:val="26"/>
              </w:rPr>
              <w:t>Ex: Maintenance, depreciation</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Adjusted square footage</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Sponsored program support</w:t>
            </w:r>
          </w:p>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i/>
                <w:sz w:val="26"/>
                <w:szCs w:val="26"/>
              </w:rPr>
              <w:t>Ex: VP for Res.&amp; Econ. Devel, C&amp;G Acctg.</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Research expenditures</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University-wide support</w:t>
            </w:r>
          </w:p>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i/>
                <w:sz w:val="26"/>
                <w:szCs w:val="26"/>
              </w:rPr>
              <w:t>Ex:OIT, HR, Public Safety</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Total FTEs, Divisions 1, 3, &amp; 4</w:t>
            </w:r>
          </w:p>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i/>
                <w:sz w:val="26"/>
                <w:szCs w:val="26"/>
              </w:rPr>
              <w:t>(employees + student workers)</w:t>
            </w:r>
          </w:p>
        </w:tc>
      </w:tr>
    </w:tbl>
    <w:p w:rsidR="00746F82" w:rsidRDefault="00746F82" w:rsidP="0055525B">
      <w:pPr>
        <w:rPr>
          <w:rFonts w:ascii="Times New Roman" w:hAnsi="Times New Roman" w:cs="Times New Roman"/>
          <w:b/>
          <w:sz w:val="26"/>
          <w:szCs w:val="26"/>
        </w:rPr>
      </w:pPr>
    </w:p>
    <w:p w:rsidR="00746F82" w:rsidRDefault="00746F82" w:rsidP="0055525B">
      <w:pPr>
        <w:rPr>
          <w:rFonts w:ascii="Times New Roman" w:hAnsi="Times New Roman" w:cs="Times New Roman"/>
          <w:b/>
          <w:sz w:val="26"/>
          <w:szCs w:val="26"/>
        </w:rPr>
      </w:pPr>
    </w:p>
    <w:p w:rsidR="0055525B" w:rsidRPr="0055525B" w:rsidRDefault="0055525B" w:rsidP="0055525B">
      <w:pPr>
        <w:rPr>
          <w:rFonts w:ascii="Times New Roman" w:hAnsi="Times New Roman" w:cs="Times New Roman"/>
          <w:b/>
          <w:sz w:val="26"/>
          <w:szCs w:val="26"/>
        </w:rPr>
      </w:pPr>
      <w:r w:rsidRPr="0055525B">
        <w:rPr>
          <w:rFonts w:ascii="Times New Roman" w:hAnsi="Times New Roman" w:cs="Times New Roman"/>
          <w:b/>
          <w:sz w:val="26"/>
          <w:szCs w:val="26"/>
        </w:rPr>
        <w:t>Mission Enhancement Fund</w:t>
      </w: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A central objective of RC</w:t>
      </w:r>
      <w:r w:rsidR="00B63178">
        <w:rPr>
          <w:rFonts w:ascii="Times New Roman" w:hAnsi="Times New Roman" w:cs="Times New Roman"/>
          <w:sz w:val="26"/>
          <w:szCs w:val="26"/>
        </w:rPr>
        <w:t>M</w:t>
      </w:r>
      <w:r w:rsidRPr="0055525B">
        <w:rPr>
          <w:rFonts w:ascii="Times New Roman" w:hAnsi="Times New Roman" w:cs="Times New Roman"/>
          <w:sz w:val="26"/>
          <w:szCs w:val="26"/>
        </w:rPr>
        <w:t xml:space="preserve"> is for the operating units to account for the full costs of their operation</w:t>
      </w:r>
      <w:r w:rsidR="00E63CD7">
        <w:rPr>
          <w:rFonts w:ascii="Times New Roman" w:hAnsi="Times New Roman" w:cs="Times New Roman"/>
          <w:sz w:val="26"/>
          <w:szCs w:val="26"/>
        </w:rPr>
        <w:t>,</w:t>
      </w:r>
      <w:r w:rsidR="00E63CD7" w:rsidRPr="0055525B">
        <w:rPr>
          <w:rFonts w:ascii="Times New Roman" w:hAnsi="Times New Roman" w:cs="Times New Roman"/>
          <w:sz w:val="26"/>
          <w:szCs w:val="26"/>
        </w:rPr>
        <w:t xml:space="preserve"> </w:t>
      </w:r>
      <w:r w:rsidRPr="0055525B">
        <w:rPr>
          <w:rFonts w:ascii="Times New Roman" w:hAnsi="Times New Roman" w:cs="Times New Roman"/>
          <w:sz w:val="26"/>
          <w:szCs w:val="26"/>
        </w:rPr>
        <w:t>where “full cost” represents the total of all direct and indirect costs. What must be addressed by the RC</w:t>
      </w:r>
      <w:r w:rsidR="00B63178">
        <w:rPr>
          <w:rFonts w:ascii="Times New Roman" w:hAnsi="Times New Roman" w:cs="Times New Roman"/>
          <w:sz w:val="26"/>
          <w:szCs w:val="26"/>
        </w:rPr>
        <w:t>M</w:t>
      </w:r>
      <w:r w:rsidRPr="0055525B">
        <w:rPr>
          <w:rFonts w:ascii="Times New Roman" w:hAnsi="Times New Roman" w:cs="Times New Roman"/>
          <w:sz w:val="26"/>
          <w:szCs w:val="26"/>
        </w:rPr>
        <w:t xml:space="preserve"> model is that, </w:t>
      </w:r>
      <w:r w:rsidR="00C94609">
        <w:rPr>
          <w:rFonts w:ascii="Times New Roman" w:hAnsi="Times New Roman" w:cs="Times New Roman"/>
          <w:sz w:val="26"/>
          <w:szCs w:val="26"/>
        </w:rPr>
        <w:t xml:space="preserve">in part </w:t>
      </w:r>
      <w:r w:rsidRPr="0055525B">
        <w:rPr>
          <w:rFonts w:ascii="Times New Roman" w:hAnsi="Times New Roman" w:cs="Times New Roman"/>
          <w:sz w:val="26"/>
          <w:szCs w:val="26"/>
        </w:rPr>
        <w:t xml:space="preserve">because of their specific mission objectives and their inherent operating costs, some colleges and schools will be unable to </w:t>
      </w:r>
      <w:r w:rsidRPr="0055525B">
        <w:rPr>
          <w:rFonts w:ascii="Times New Roman" w:hAnsi="Times New Roman" w:cs="Times New Roman"/>
          <w:sz w:val="26"/>
          <w:szCs w:val="26"/>
        </w:rPr>
        <w:lastRenderedPageBreak/>
        <w:t>generate their full cost from the total of their direct and allocated revenues.  That is, a college or school’s total revenues may be less than the full cost of its programs</w:t>
      </w:r>
      <w:r w:rsidR="00E63CD7">
        <w:rPr>
          <w:rFonts w:ascii="Times New Roman" w:hAnsi="Times New Roman" w:cs="Times New Roman"/>
          <w:sz w:val="26"/>
          <w:szCs w:val="26"/>
        </w:rPr>
        <w:t>,</w:t>
      </w:r>
      <w:r w:rsidR="00E63CD7" w:rsidRPr="0055525B">
        <w:rPr>
          <w:rFonts w:ascii="Times New Roman" w:hAnsi="Times New Roman" w:cs="Times New Roman"/>
          <w:sz w:val="26"/>
          <w:szCs w:val="26"/>
        </w:rPr>
        <w:t xml:space="preserve"> </w:t>
      </w:r>
      <w:r w:rsidRPr="0055525B">
        <w:rPr>
          <w:rFonts w:ascii="Times New Roman" w:hAnsi="Times New Roman" w:cs="Times New Roman"/>
          <w:sz w:val="26"/>
          <w:szCs w:val="26"/>
        </w:rPr>
        <w:t>resulting in a negative margin. In order for all colleges to have adequate resources to achieve their objectives, the proposed RC</w:t>
      </w:r>
      <w:r w:rsidR="00B63178">
        <w:rPr>
          <w:rFonts w:ascii="Times New Roman" w:hAnsi="Times New Roman" w:cs="Times New Roman"/>
          <w:sz w:val="26"/>
          <w:szCs w:val="26"/>
        </w:rPr>
        <w:t>M</w:t>
      </w:r>
      <w:r w:rsidRPr="0055525B">
        <w:rPr>
          <w:rFonts w:ascii="Times New Roman" w:hAnsi="Times New Roman" w:cs="Times New Roman"/>
          <w:sz w:val="26"/>
          <w:szCs w:val="26"/>
        </w:rPr>
        <w:t xml:space="preserve"> model creates a “Mission Enhancement Fund” (MEF). The MEF is a central pool of funding that is available to provide resources to alleviate any negative margins </w:t>
      </w:r>
      <w:r w:rsidR="00B63178">
        <w:rPr>
          <w:rFonts w:ascii="Times New Roman" w:hAnsi="Times New Roman" w:cs="Times New Roman"/>
          <w:sz w:val="26"/>
          <w:szCs w:val="26"/>
        </w:rPr>
        <w:t>produced under the RCM</w:t>
      </w:r>
      <w:r w:rsidRPr="0055525B">
        <w:rPr>
          <w:rFonts w:ascii="Times New Roman" w:hAnsi="Times New Roman" w:cs="Times New Roman"/>
          <w:sz w:val="26"/>
          <w:szCs w:val="26"/>
        </w:rPr>
        <w:t xml:space="preserve"> model, allowing the University to accomplish its strategic priorities or to invest in initiatives.</w:t>
      </w:r>
    </w:p>
    <w:p w:rsidR="0055525B" w:rsidRPr="0055525B" w:rsidRDefault="001F62B8" w:rsidP="0055525B">
      <w:pPr>
        <w:rPr>
          <w:rFonts w:ascii="Times New Roman" w:hAnsi="Times New Roman" w:cs="Times New Roman"/>
          <w:sz w:val="26"/>
          <w:szCs w:val="26"/>
        </w:rPr>
      </w:pPr>
      <w:r>
        <w:rPr>
          <w:rFonts w:ascii="Times New Roman" w:hAnsi="Times New Roman" w:cs="Times New Roman"/>
          <w:sz w:val="26"/>
          <w:szCs w:val="26"/>
        </w:rPr>
        <w:br/>
      </w:r>
      <w:r w:rsidR="00F561C2">
        <w:rPr>
          <w:rFonts w:ascii="Times New Roman" w:hAnsi="Times New Roman" w:cs="Times New Roman"/>
          <w:sz w:val="26"/>
          <w:szCs w:val="26"/>
        </w:rPr>
        <w:t>The Mission Enhancement Fund is created by applying a participation rate to eligible budgeted revenues</w:t>
      </w:r>
      <w:r w:rsidR="0055525B" w:rsidRPr="0055525B">
        <w:rPr>
          <w:rFonts w:ascii="Times New Roman" w:hAnsi="Times New Roman" w:cs="Times New Roman"/>
          <w:sz w:val="26"/>
          <w:szCs w:val="26"/>
        </w:rPr>
        <w:t xml:space="preserve"> </w:t>
      </w:r>
      <w:r w:rsidR="00F561C2">
        <w:rPr>
          <w:rFonts w:ascii="Times New Roman" w:hAnsi="Times New Roman" w:cs="Times New Roman"/>
          <w:sz w:val="26"/>
          <w:szCs w:val="26"/>
        </w:rPr>
        <w:t>of the schools and colleges. While the participation rate itself would remain constant between periodic formal reviews of the budget models, the size of the Mission Enhancement Fund itself would vary from year to year, based on anticipated revenues.</w:t>
      </w:r>
      <w:r w:rsidR="006C0FCC">
        <w:rPr>
          <w:rFonts w:ascii="Times New Roman" w:hAnsi="Times New Roman" w:cs="Times New Roman"/>
          <w:sz w:val="26"/>
          <w:szCs w:val="26"/>
        </w:rPr>
        <w:t xml:space="preserve"> </w:t>
      </w:r>
      <w:r w:rsidR="0055525B" w:rsidRPr="0055525B">
        <w:rPr>
          <w:rFonts w:ascii="Times New Roman" w:hAnsi="Times New Roman" w:cs="Times New Roman"/>
          <w:sz w:val="26"/>
          <w:szCs w:val="26"/>
        </w:rPr>
        <w:t>The basic intent of the MEF is to contain the amount determined as necessary to provide those colleges and schools with negative margins adequate support to begin their fiscal year at a break-even funding level, plus any identified resources required for strategic investments (new programs or program enhancements that would advance the University’s strategic mission). Thus, the amount can vary from year-to-year</w:t>
      </w:r>
      <w:r w:rsidR="00E63CD7">
        <w:rPr>
          <w:rFonts w:ascii="Times New Roman" w:hAnsi="Times New Roman" w:cs="Times New Roman"/>
          <w:sz w:val="26"/>
          <w:szCs w:val="26"/>
        </w:rPr>
        <w:t>,</w:t>
      </w:r>
      <w:r w:rsidR="00E63CD7" w:rsidRPr="0055525B">
        <w:rPr>
          <w:rFonts w:ascii="Times New Roman" w:hAnsi="Times New Roman" w:cs="Times New Roman"/>
          <w:sz w:val="26"/>
          <w:szCs w:val="26"/>
        </w:rPr>
        <w:t xml:space="preserve"> </w:t>
      </w:r>
      <w:r w:rsidR="0055525B" w:rsidRPr="0055525B">
        <w:rPr>
          <w:rFonts w:ascii="Times New Roman" w:hAnsi="Times New Roman" w:cs="Times New Roman"/>
          <w:sz w:val="26"/>
          <w:szCs w:val="26"/>
        </w:rPr>
        <w:t xml:space="preserve">growing or shrinking, dependent upon the amount required. </w:t>
      </w:r>
    </w:p>
    <w:p w:rsidR="0055525B" w:rsidRPr="0055525B" w:rsidRDefault="001F62B8" w:rsidP="0055525B">
      <w:pPr>
        <w:rPr>
          <w:rFonts w:ascii="Times New Roman" w:hAnsi="Times New Roman" w:cs="Times New Roman"/>
          <w:sz w:val="26"/>
          <w:szCs w:val="26"/>
        </w:rPr>
      </w:pPr>
      <w:r>
        <w:rPr>
          <w:rFonts w:ascii="Times New Roman" w:hAnsi="Times New Roman" w:cs="Times New Roman"/>
          <w:sz w:val="26"/>
          <w:szCs w:val="26"/>
        </w:rPr>
        <w:br/>
      </w:r>
      <w:r w:rsidR="0055525B" w:rsidRPr="0055525B">
        <w:rPr>
          <w:rFonts w:ascii="Times New Roman" w:hAnsi="Times New Roman" w:cs="Times New Roman"/>
          <w:sz w:val="26"/>
          <w:szCs w:val="26"/>
        </w:rPr>
        <w:t xml:space="preserve">All colleges and schools, including those that will benefit by receiving funding from the MEF to reach break-even, are required to contribute to the fund. The amount of contribution is established by a “participation rate” applied to </w:t>
      </w:r>
      <w:r w:rsidR="00737C73">
        <w:rPr>
          <w:rFonts w:ascii="Times New Roman" w:hAnsi="Times New Roman" w:cs="Times New Roman"/>
          <w:sz w:val="26"/>
          <w:szCs w:val="26"/>
        </w:rPr>
        <w:t>certain</w:t>
      </w:r>
      <w:r w:rsidR="00737C73" w:rsidRPr="0055525B">
        <w:rPr>
          <w:rFonts w:ascii="Times New Roman" w:hAnsi="Times New Roman" w:cs="Times New Roman"/>
          <w:sz w:val="26"/>
          <w:szCs w:val="26"/>
        </w:rPr>
        <w:t xml:space="preserve"> </w:t>
      </w:r>
      <w:r w:rsidR="0055525B" w:rsidRPr="0055525B">
        <w:rPr>
          <w:rFonts w:ascii="Times New Roman" w:hAnsi="Times New Roman" w:cs="Times New Roman"/>
          <w:sz w:val="26"/>
          <w:szCs w:val="26"/>
        </w:rPr>
        <w:t>revenues of each college/school. Not all revenues are considered in the development of the contribution rate. Those that are included/excluded are shown in the table, below:</w:t>
      </w:r>
    </w:p>
    <w:p w:rsidR="0055525B" w:rsidRPr="0055525B" w:rsidRDefault="0055525B" w:rsidP="0055525B">
      <w:pPr>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3336"/>
        <w:gridCol w:w="4975"/>
      </w:tblGrid>
      <w:tr w:rsidR="0055525B" w:rsidRPr="0055525B" w:rsidTr="00C12685">
        <w:trPr>
          <w:jc w:val="center"/>
        </w:trPr>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Included Revenues</w:t>
            </w:r>
          </w:p>
        </w:tc>
        <w:tc>
          <w:tcPr>
            <w:tcW w:w="0" w:type="auto"/>
            <w:shd w:val="clear" w:color="auto" w:fill="F2F2F2" w:themeFill="background1" w:themeFillShade="F2"/>
          </w:tcPr>
          <w:p w:rsidR="0055525B" w:rsidRPr="0055525B" w:rsidRDefault="0055525B" w:rsidP="0055525B">
            <w:pPr>
              <w:spacing w:after="160" w:line="259" w:lineRule="auto"/>
              <w:rPr>
                <w:rFonts w:ascii="Times New Roman" w:hAnsi="Times New Roman" w:cs="Times New Roman"/>
                <w:b/>
                <w:sz w:val="26"/>
                <w:szCs w:val="26"/>
              </w:rPr>
            </w:pPr>
            <w:r w:rsidRPr="0055525B">
              <w:rPr>
                <w:rFonts w:ascii="Times New Roman" w:hAnsi="Times New Roman" w:cs="Times New Roman"/>
                <w:b/>
                <w:sz w:val="26"/>
                <w:szCs w:val="26"/>
              </w:rPr>
              <w:t>Excluded Revenues</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Gross tuition and fees</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Sponsored program revenues</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(less) Student aid and waivers</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Indirect cost recovery</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Appropriations</w:t>
            </w:r>
          </w:p>
        </w:tc>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Gifts, private support, and investment income</w:t>
            </w: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Sales and services</w:t>
            </w:r>
          </w:p>
        </w:tc>
        <w:tc>
          <w:tcPr>
            <w:tcW w:w="0" w:type="auto"/>
          </w:tcPr>
          <w:p w:rsidR="0055525B" w:rsidRPr="0055525B" w:rsidRDefault="0055525B" w:rsidP="0055525B">
            <w:pPr>
              <w:spacing w:after="160" w:line="259" w:lineRule="auto"/>
              <w:rPr>
                <w:rFonts w:ascii="Times New Roman" w:hAnsi="Times New Roman" w:cs="Times New Roman"/>
                <w:sz w:val="26"/>
                <w:szCs w:val="26"/>
              </w:rPr>
            </w:pPr>
          </w:p>
        </w:tc>
      </w:tr>
      <w:tr w:rsidR="0055525B" w:rsidRPr="0055525B" w:rsidTr="00C12685">
        <w:trPr>
          <w:jc w:val="center"/>
        </w:trPr>
        <w:tc>
          <w:tcPr>
            <w:tcW w:w="0" w:type="auto"/>
          </w:tcPr>
          <w:p w:rsidR="0055525B" w:rsidRPr="0055525B" w:rsidRDefault="0055525B" w:rsidP="0055525B">
            <w:pPr>
              <w:spacing w:after="160" w:line="259" w:lineRule="auto"/>
              <w:rPr>
                <w:rFonts w:ascii="Times New Roman" w:hAnsi="Times New Roman" w:cs="Times New Roman"/>
                <w:sz w:val="26"/>
                <w:szCs w:val="26"/>
              </w:rPr>
            </w:pPr>
            <w:r w:rsidRPr="0055525B">
              <w:rPr>
                <w:rFonts w:ascii="Times New Roman" w:hAnsi="Times New Roman" w:cs="Times New Roman"/>
                <w:sz w:val="26"/>
                <w:szCs w:val="26"/>
              </w:rPr>
              <w:t>Other revenues</w:t>
            </w:r>
          </w:p>
        </w:tc>
        <w:tc>
          <w:tcPr>
            <w:tcW w:w="0" w:type="auto"/>
          </w:tcPr>
          <w:p w:rsidR="0055525B" w:rsidRPr="0055525B" w:rsidRDefault="0055525B" w:rsidP="0055525B">
            <w:pPr>
              <w:spacing w:after="160" w:line="259" w:lineRule="auto"/>
              <w:rPr>
                <w:rFonts w:ascii="Times New Roman" w:hAnsi="Times New Roman" w:cs="Times New Roman"/>
                <w:sz w:val="26"/>
                <w:szCs w:val="26"/>
              </w:rPr>
            </w:pPr>
          </w:p>
        </w:tc>
      </w:tr>
    </w:tbl>
    <w:p w:rsidR="0055525B" w:rsidRDefault="0055525B" w:rsidP="0055525B">
      <w:pPr>
        <w:rPr>
          <w:rFonts w:ascii="Times New Roman" w:hAnsi="Times New Roman" w:cs="Times New Roman"/>
          <w:sz w:val="26"/>
          <w:szCs w:val="26"/>
        </w:rPr>
      </w:pPr>
    </w:p>
    <w:p w:rsidR="0055525B" w:rsidRPr="0055525B" w:rsidRDefault="0055525B" w:rsidP="0055525B">
      <w:pPr>
        <w:rPr>
          <w:rFonts w:ascii="Times New Roman" w:hAnsi="Times New Roman" w:cs="Times New Roman"/>
          <w:sz w:val="26"/>
          <w:szCs w:val="26"/>
        </w:rPr>
      </w:pPr>
      <w:r w:rsidRPr="0055525B">
        <w:rPr>
          <w:rFonts w:ascii="Times New Roman" w:hAnsi="Times New Roman" w:cs="Times New Roman"/>
          <w:sz w:val="26"/>
          <w:szCs w:val="26"/>
        </w:rPr>
        <w:t xml:space="preserve">An example </w:t>
      </w:r>
      <w:r w:rsidR="00C61E7C">
        <w:rPr>
          <w:rFonts w:ascii="Times New Roman" w:hAnsi="Times New Roman" w:cs="Times New Roman"/>
          <w:sz w:val="26"/>
          <w:szCs w:val="26"/>
        </w:rPr>
        <w:t xml:space="preserve">provided to the </w:t>
      </w:r>
      <w:r w:rsidR="0071203A">
        <w:rPr>
          <w:rFonts w:ascii="Times New Roman" w:hAnsi="Times New Roman" w:cs="Times New Roman"/>
          <w:sz w:val="26"/>
          <w:szCs w:val="26"/>
        </w:rPr>
        <w:t xml:space="preserve">current </w:t>
      </w:r>
      <w:r w:rsidR="00C61E7C">
        <w:rPr>
          <w:rFonts w:ascii="Times New Roman" w:hAnsi="Times New Roman" w:cs="Times New Roman"/>
          <w:sz w:val="26"/>
          <w:szCs w:val="26"/>
        </w:rPr>
        <w:t xml:space="preserve">committee used FY2012 data and a MEF participation rate of 17.5%.  At that level, the MEF was large enough to cover all negative margins as well as provide sufficient resources to fund strategic investments. </w:t>
      </w:r>
    </w:p>
    <w:p w:rsidR="0055525B" w:rsidRDefault="0055525B" w:rsidP="0055525B">
      <w:pPr>
        <w:rPr>
          <w:rFonts w:ascii="Times New Roman" w:hAnsi="Times New Roman" w:cs="Times New Roman"/>
          <w:b/>
          <w:sz w:val="26"/>
          <w:szCs w:val="26"/>
        </w:rPr>
      </w:pPr>
    </w:p>
    <w:p w:rsidR="00B47051" w:rsidRPr="009B1973" w:rsidRDefault="00B47051" w:rsidP="00B47051">
      <w:pPr>
        <w:rPr>
          <w:rFonts w:ascii="Times New Roman" w:hAnsi="Times New Roman" w:cs="Times New Roman"/>
          <w:b/>
          <w:sz w:val="26"/>
          <w:szCs w:val="26"/>
        </w:rPr>
      </w:pPr>
      <w:r>
        <w:rPr>
          <w:rFonts w:ascii="Times New Roman" w:hAnsi="Times New Roman" w:cs="Times New Roman"/>
          <w:b/>
          <w:sz w:val="26"/>
          <w:szCs w:val="26"/>
        </w:rPr>
        <w:lastRenderedPageBreak/>
        <w:t xml:space="preserve">Planned </w:t>
      </w:r>
      <w:r w:rsidRPr="009B1973">
        <w:rPr>
          <w:rFonts w:ascii="Times New Roman" w:hAnsi="Times New Roman" w:cs="Times New Roman"/>
          <w:b/>
          <w:sz w:val="26"/>
          <w:szCs w:val="26"/>
        </w:rPr>
        <w:t>Budget Model Oversight</w:t>
      </w:r>
    </w:p>
    <w:p w:rsidR="00B47051" w:rsidRPr="009B1973" w:rsidRDefault="00B47051" w:rsidP="00B47051">
      <w:pPr>
        <w:rPr>
          <w:rFonts w:ascii="Times New Roman" w:hAnsi="Times New Roman" w:cs="Times New Roman"/>
          <w:sz w:val="26"/>
          <w:szCs w:val="26"/>
        </w:rPr>
      </w:pPr>
      <w:r w:rsidRPr="009B1973">
        <w:rPr>
          <w:rFonts w:ascii="Times New Roman" w:hAnsi="Times New Roman" w:cs="Times New Roman"/>
          <w:sz w:val="26"/>
          <w:szCs w:val="26"/>
        </w:rPr>
        <w:t>As presently proposed</w:t>
      </w:r>
      <w:r w:rsidR="00E63CD7">
        <w:rPr>
          <w:rFonts w:ascii="Times New Roman" w:hAnsi="Times New Roman" w:cs="Times New Roman"/>
          <w:sz w:val="26"/>
          <w:szCs w:val="26"/>
        </w:rPr>
        <w:t>,</w:t>
      </w:r>
      <w:r w:rsidRPr="009B1973">
        <w:rPr>
          <w:rFonts w:ascii="Times New Roman" w:hAnsi="Times New Roman" w:cs="Times New Roman"/>
          <w:sz w:val="26"/>
          <w:szCs w:val="26"/>
        </w:rPr>
        <w:t xml:space="preserve"> three </w:t>
      </w:r>
      <w:r>
        <w:rPr>
          <w:rFonts w:ascii="Times New Roman" w:hAnsi="Times New Roman" w:cs="Times New Roman"/>
          <w:sz w:val="26"/>
          <w:szCs w:val="26"/>
        </w:rPr>
        <w:t xml:space="preserve">new </w:t>
      </w:r>
      <w:r w:rsidRPr="009B1973">
        <w:rPr>
          <w:rFonts w:ascii="Times New Roman" w:hAnsi="Times New Roman" w:cs="Times New Roman"/>
          <w:sz w:val="26"/>
          <w:szCs w:val="26"/>
        </w:rPr>
        <w:t>University Committees would be formed to provide oversight and guidance for Budget development and implementation</w:t>
      </w:r>
      <w:r>
        <w:rPr>
          <w:rFonts w:ascii="Times New Roman" w:hAnsi="Times New Roman" w:cs="Times New Roman"/>
          <w:sz w:val="26"/>
          <w:szCs w:val="26"/>
        </w:rPr>
        <w:t xml:space="preserve"> along with several existing committees that would monitor the effects of the implementing the new model on curricula</w:t>
      </w:r>
      <w:r w:rsidRPr="009B1973">
        <w:rPr>
          <w:rFonts w:ascii="Times New Roman" w:hAnsi="Times New Roman" w:cs="Times New Roman"/>
          <w:sz w:val="26"/>
          <w:szCs w:val="26"/>
        </w:rPr>
        <w:t>.  These include: </w:t>
      </w:r>
      <w:r>
        <w:rPr>
          <w:rFonts w:ascii="Times New Roman" w:hAnsi="Times New Roman" w:cs="Times New Roman"/>
          <w:sz w:val="26"/>
          <w:szCs w:val="26"/>
        </w:rPr>
        <w:br/>
      </w:r>
    </w:p>
    <w:p w:rsidR="00B47051" w:rsidRPr="00CE31A8" w:rsidRDefault="00B47051" w:rsidP="00B47051">
      <w:pPr>
        <w:rPr>
          <w:rFonts w:ascii="Times New Roman" w:hAnsi="Times New Roman" w:cs="Times New Roman"/>
          <w:b/>
          <w:sz w:val="26"/>
          <w:szCs w:val="26"/>
        </w:rPr>
      </w:pPr>
      <w:r w:rsidRPr="00CE31A8">
        <w:rPr>
          <w:rFonts w:ascii="Times New Roman" w:hAnsi="Times New Roman" w:cs="Times New Roman"/>
          <w:b/>
          <w:sz w:val="26"/>
          <w:szCs w:val="26"/>
        </w:rPr>
        <w:t>Proposed Committees</w:t>
      </w:r>
    </w:p>
    <w:p w:rsidR="00B47051" w:rsidRPr="00CE31A8" w:rsidRDefault="00B47051" w:rsidP="00B47051">
      <w:pPr>
        <w:ind w:left="432"/>
        <w:rPr>
          <w:rFonts w:ascii="Times New Roman" w:hAnsi="Times New Roman" w:cs="Times New Roman"/>
          <w:sz w:val="26"/>
          <w:szCs w:val="26"/>
        </w:rPr>
      </w:pPr>
      <w:r w:rsidRPr="00CE31A8">
        <w:rPr>
          <w:rFonts w:ascii="Times New Roman" w:hAnsi="Times New Roman" w:cs="Times New Roman"/>
          <w:b/>
          <w:sz w:val="26"/>
          <w:szCs w:val="26"/>
        </w:rPr>
        <w:t>Strategic  Budget Advisory Committee:</w:t>
      </w:r>
      <w:r w:rsidRPr="00CE31A8">
        <w:rPr>
          <w:rFonts w:ascii="Times New Roman" w:hAnsi="Times New Roman" w:cs="Times New Roman"/>
          <w:sz w:val="26"/>
          <w:szCs w:val="26"/>
        </w:rPr>
        <w:t xml:space="preserve"> Advises senior leadership on use of the Mission Enhancement</w:t>
      </w:r>
      <w:r>
        <w:rPr>
          <w:rFonts w:ascii="Times New Roman" w:hAnsi="Times New Roman" w:cs="Times New Roman"/>
          <w:sz w:val="26"/>
          <w:szCs w:val="26"/>
        </w:rPr>
        <w:t xml:space="preserve"> </w:t>
      </w:r>
      <w:r w:rsidRPr="00CE31A8">
        <w:rPr>
          <w:rFonts w:ascii="Times New Roman" w:hAnsi="Times New Roman" w:cs="Times New Roman"/>
          <w:sz w:val="26"/>
          <w:szCs w:val="26"/>
        </w:rPr>
        <w:t>Fund; reviews Central Unit budgets that could not be agreed upon by the Central Unit Allocations Committee; submits the final recommended budget to the President; at five-year intervals, proposes a task</w:t>
      </w:r>
      <w:r>
        <w:rPr>
          <w:rFonts w:ascii="Times New Roman" w:hAnsi="Times New Roman" w:cs="Times New Roman"/>
          <w:sz w:val="26"/>
          <w:szCs w:val="26"/>
        </w:rPr>
        <w:t xml:space="preserve"> </w:t>
      </w:r>
      <w:r w:rsidRPr="00CE31A8">
        <w:rPr>
          <w:rFonts w:ascii="Times New Roman" w:hAnsi="Times New Roman" w:cs="Times New Roman"/>
          <w:sz w:val="26"/>
          <w:szCs w:val="26"/>
        </w:rPr>
        <w:t>force to conduct a thorough review of the Strategic Budget Model, including all allocation methodologies and the selected participation rate.</w:t>
      </w:r>
    </w:p>
    <w:p w:rsidR="00B47051" w:rsidRDefault="00B47051" w:rsidP="00B47051">
      <w:pPr>
        <w:rPr>
          <w:rFonts w:ascii="Times New Roman" w:hAnsi="Times New Roman" w:cs="Times New Roman"/>
          <w:sz w:val="26"/>
          <w:szCs w:val="26"/>
        </w:rPr>
      </w:pPr>
    </w:p>
    <w:p w:rsidR="00B47051" w:rsidRDefault="00B47051" w:rsidP="00B47051">
      <w:pPr>
        <w:ind w:left="432"/>
        <w:rPr>
          <w:rFonts w:ascii="Times New Roman" w:hAnsi="Times New Roman" w:cs="Times New Roman"/>
          <w:sz w:val="26"/>
          <w:szCs w:val="26"/>
        </w:rPr>
      </w:pPr>
      <w:r w:rsidRPr="00CE31A8">
        <w:rPr>
          <w:rFonts w:ascii="Times New Roman" w:hAnsi="Times New Roman" w:cs="Times New Roman"/>
          <w:b/>
          <w:sz w:val="26"/>
          <w:szCs w:val="26"/>
        </w:rPr>
        <w:t>Central Unit Allocations Committee:</w:t>
      </w:r>
      <w:r w:rsidRPr="00CE31A8">
        <w:rPr>
          <w:rFonts w:ascii="Times New Roman" w:hAnsi="Times New Roman" w:cs="Times New Roman"/>
          <w:sz w:val="26"/>
          <w:szCs w:val="26"/>
        </w:rPr>
        <w:t xml:space="preserve"> Provides oversight of Central Unit costs by evaluating each unit's</w:t>
      </w:r>
      <w:r>
        <w:rPr>
          <w:rFonts w:ascii="Times New Roman" w:hAnsi="Times New Roman" w:cs="Times New Roman"/>
          <w:sz w:val="26"/>
          <w:szCs w:val="26"/>
        </w:rPr>
        <w:t xml:space="preserve"> </w:t>
      </w:r>
      <w:r w:rsidRPr="00CE31A8">
        <w:rPr>
          <w:rFonts w:ascii="Times New Roman" w:hAnsi="Times New Roman" w:cs="Times New Roman"/>
          <w:sz w:val="26"/>
          <w:szCs w:val="26"/>
        </w:rPr>
        <w:t xml:space="preserve">cost of operations and level of service on a rotating basis; recommends a comprehensive budget for central units to the Strategic Budget </w:t>
      </w:r>
      <w:r>
        <w:rPr>
          <w:rFonts w:ascii="Times New Roman" w:hAnsi="Times New Roman" w:cs="Times New Roman"/>
          <w:sz w:val="26"/>
          <w:szCs w:val="26"/>
        </w:rPr>
        <w:t>Adviso</w:t>
      </w:r>
      <w:r w:rsidRPr="00CE31A8">
        <w:rPr>
          <w:rFonts w:ascii="Times New Roman" w:hAnsi="Times New Roman" w:cs="Times New Roman"/>
          <w:sz w:val="26"/>
          <w:szCs w:val="26"/>
        </w:rPr>
        <w:t>ry Committee for final review and inclusion in the University-wide budget submitted to the President.</w:t>
      </w:r>
    </w:p>
    <w:p w:rsidR="00B47051" w:rsidRPr="00CE31A8" w:rsidRDefault="00B47051" w:rsidP="00B47051">
      <w:pPr>
        <w:rPr>
          <w:rFonts w:ascii="Times New Roman" w:hAnsi="Times New Roman" w:cs="Times New Roman"/>
          <w:sz w:val="26"/>
          <w:szCs w:val="26"/>
        </w:rPr>
      </w:pPr>
    </w:p>
    <w:p w:rsidR="00B47051" w:rsidRPr="00CE31A8" w:rsidRDefault="00B47051" w:rsidP="00B47051">
      <w:pPr>
        <w:ind w:left="432"/>
        <w:rPr>
          <w:rFonts w:ascii="Times New Roman" w:hAnsi="Times New Roman" w:cs="Times New Roman"/>
          <w:sz w:val="26"/>
          <w:szCs w:val="26"/>
        </w:rPr>
      </w:pPr>
      <w:r w:rsidRPr="00CE31A8">
        <w:rPr>
          <w:rFonts w:ascii="Times New Roman" w:hAnsi="Times New Roman" w:cs="Times New Roman"/>
          <w:b/>
          <w:sz w:val="26"/>
          <w:szCs w:val="26"/>
        </w:rPr>
        <w:t>Space Management and Deferred Maintenance Committee:</w:t>
      </w:r>
      <w:r w:rsidRPr="00CE31A8">
        <w:rPr>
          <w:rFonts w:ascii="Times New Roman" w:hAnsi="Times New Roman" w:cs="Times New Roman"/>
          <w:sz w:val="26"/>
          <w:szCs w:val="26"/>
        </w:rPr>
        <w:t xml:space="preserve"> Oversees the deferred maintenance fund</w:t>
      </w:r>
      <w:r>
        <w:rPr>
          <w:rFonts w:ascii="Times New Roman" w:hAnsi="Times New Roman" w:cs="Times New Roman"/>
          <w:sz w:val="26"/>
          <w:szCs w:val="26"/>
        </w:rPr>
        <w:t xml:space="preserve"> </w:t>
      </w:r>
      <w:r w:rsidRPr="00CE31A8">
        <w:rPr>
          <w:rFonts w:ascii="Times New Roman" w:hAnsi="Times New Roman" w:cs="Times New Roman"/>
          <w:sz w:val="26"/>
          <w:szCs w:val="26"/>
        </w:rPr>
        <w:t>and the allocations of its resources to support improvements across the University; prioritizes the list of deferred maintenance items for periodic and as-needed improvements; serves as a broker for units wishing to give up or acquire space.</w:t>
      </w:r>
    </w:p>
    <w:p w:rsidR="00B47051" w:rsidRDefault="00B47051" w:rsidP="00B47051">
      <w:pPr>
        <w:rPr>
          <w:rFonts w:ascii="Times New Roman" w:hAnsi="Times New Roman" w:cs="Times New Roman"/>
          <w:sz w:val="26"/>
          <w:szCs w:val="26"/>
        </w:rPr>
      </w:pPr>
    </w:p>
    <w:p w:rsidR="00B47051" w:rsidRDefault="00B47051" w:rsidP="00B47051">
      <w:pPr>
        <w:rPr>
          <w:rFonts w:ascii="Times New Roman" w:hAnsi="Times New Roman" w:cs="Times New Roman"/>
          <w:b/>
          <w:sz w:val="26"/>
          <w:szCs w:val="26"/>
        </w:rPr>
      </w:pPr>
      <w:r>
        <w:rPr>
          <w:rFonts w:ascii="Times New Roman" w:hAnsi="Times New Roman" w:cs="Times New Roman"/>
          <w:b/>
          <w:sz w:val="26"/>
          <w:szCs w:val="26"/>
        </w:rPr>
        <w:t>Existing University S</w:t>
      </w:r>
      <w:r w:rsidRPr="00CE31A8">
        <w:rPr>
          <w:rFonts w:ascii="Times New Roman" w:hAnsi="Times New Roman" w:cs="Times New Roman"/>
          <w:b/>
          <w:sz w:val="26"/>
          <w:szCs w:val="26"/>
        </w:rPr>
        <w:t>enate Committees</w:t>
      </w:r>
    </w:p>
    <w:p w:rsidR="00B47051" w:rsidRDefault="00B47051" w:rsidP="00B47051">
      <w:pPr>
        <w:ind w:left="432"/>
        <w:rPr>
          <w:rFonts w:ascii="Times New Roman" w:hAnsi="Times New Roman" w:cs="Times New Roman"/>
          <w:sz w:val="26"/>
          <w:szCs w:val="26"/>
        </w:rPr>
      </w:pPr>
      <w:r w:rsidRPr="00CE31A8">
        <w:rPr>
          <w:rFonts w:ascii="Times New Roman" w:hAnsi="Times New Roman" w:cs="Times New Roman"/>
          <w:b/>
          <w:sz w:val="26"/>
          <w:szCs w:val="26"/>
        </w:rPr>
        <w:t xml:space="preserve">Core Curriculum and General Education Committee, Curriculum Committee, Graduate Council: </w:t>
      </w:r>
      <w:r w:rsidRPr="00CE31A8">
        <w:rPr>
          <w:rFonts w:ascii="Times New Roman" w:hAnsi="Times New Roman" w:cs="Times New Roman"/>
          <w:sz w:val="26"/>
          <w:szCs w:val="26"/>
        </w:rPr>
        <w:t>In</w:t>
      </w:r>
      <w:r>
        <w:rPr>
          <w:rFonts w:ascii="Times New Roman" w:hAnsi="Times New Roman" w:cs="Times New Roman"/>
          <w:sz w:val="26"/>
          <w:szCs w:val="26"/>
        </w:rPr>
        <w:t xml:space="preserve"> </w:t>
      </w:r>
      <w:r w:rsidRPr="00CE31A8">
        <w:rPr>
          <w:rFonts w:ascii="Times New Roman" w:hAnsi="Times New Roman" w:cs="Times New Roman"/>
          <w:sz w:val="26"/>
          <w:szCs w:val="26"/>
        </w:rPr>
        <w:t>discharging their assigned responsibilities under a new resource allocation model, these Committees will need to serve as a hedge against attempts to game the system by creating courses strictly for financial gain. In addition, these Committees should be encouraged to promote interdisciplinary curriculum development, where appropriate, for the benefit of the University as a whole.</w:t>
      </w:r>
    </w:p>
    <w:p w:rsidR="00B47051" w:rsidRDefault="00B47051" w:rsidP="0055525B">
      <w:pPr>
        <w:rPr>
          <w:rFonts w:ascii="Times New Roman" w:hAnsi="Times New Roman" w:cs="Times New Roman"/>
          <w:b/>
          <w:sz w:val="26"/>
          <w:szCs w:val="26"/>
        </w:rPr>
      </w:pPr>
    </w:p>
    <w:p w:rsidR="00B431F5" w:rsidRDefault="00B431F5" w:rsidP="0055525B">
      <w:pPr>
        <w:rPr>
          <w:rFonts w:ascii="Times New Roman" w:hAnsi="Times New Roman" w:cs="Times New Roman"/>
          <w:b/>
          <w:sz w:val="26"/>
          <w:szCs w:val="26"/>
          <w:u w:val="single"/>
        </w:rPr>
      </w:pPr>
    </w:p>
    <w:p w:rsidR="00B431F5" w:rsidRDefault="00B431F5" w:rsidP="0055525B">
      <w:pPr>
        <w:rPr>
          <w:rFonts w:ascii="Times New Roman" w:hAnsi="Times New Roman" w:cs="Times New Roman"/>
          <w:b/>
          <w:sz w:val="26"/>
          <w:szCs w:val="26"/>
          <w:u w:val="single"/>
        </w:rPr>
      </w:pPr>
    </w:p>
    <w:p w:rsidR="00B431F5" w:rsidRDefault="00B431F5" w:rsidP="0055525B">
      <w:pPr>
        <w:rPr>
          <w:rFonts w:ascii="Times New Roman" w:hAnsi="Times New Roman" w:cs="Times New Roman"/>
          <w:b/>
          <w:sz w:val="26"/>
          <w:szCs w:val="26"/>
          <w:u w:val="single"/>
        </w:rPr>
      </w:pPr>
    </w:p>
    <w:p w:rsidR="0055525B" w:rsidRPr="006C5CC5" w:rsidRDefault="006F759E" w:rsidP="0055525B">
      <w:pPr>
        <w:rPr>
          <w:rFonts w:ascii="Times New Roman" w:hAnsi="Times New Roman" w:cs="Times New Roman"/>
          <w:b/>
          <w:sz w:val="26"/>
          <w:szCs w:val="26"/>
          <w:u w:val="single"/>
        </w:rPr>
      </w:pPr>
      <w:r w:rsidRPr="006C5CC5">
        <w:rPr>
          <w:rFonts w:ascii="Times New Roman" w:hAnsi="Times New Roman" w:cs="Times New Roman"/>
          <w:b/>
          <w:sz w:val="26"/>
          <w:szCs w:val="26"/>
          <w:u w:val="single"/>
        </w:rPr>
        <w:t xml:space="preserve">Ad Hoc Senate Committee’s </w:t>
      </w:r>
      <w:r w:rsidR="0071203A" w:rsidRPr="006C5CC5">
        <w:rPr>
          <w:rFonts w:ascii="Times New Roman" w:hAnsi="Times New Roman" w:cs="Times New Roman"/>
          <w:b/>
          <w:sz w:val="26"/>
          <w:szCs w:val="26"/>
          <w:u w:val="single"/>
        </w:rPr>
        <w:t>Evaluati</w:t>
      </w:r>
      <w:r w:rsidR="007B1716" w:rsidRPr="006C5CC5">
        <w:rPr>
          <w:rFonts w:ascii="Times New Roman" w:hAnsi="Times New Roman" w:cs="Times New Roman"/>
          <w:b/>
          <w:sz w:val="26"/>
          <w:szCs w:val="26"/>
          <w:u w:val="single"/>
        </w:rPr>
        <w:t>on o</w:t>
      </w:r>
      <w:r w:rsidR="0071203A" w:rsidRPr="006C5CC5">
        <w:rPr>
          <w:rFonts w:ascii="Times New Roman" w:hAnsi="Times New Roman" w:cs="Times New Roman"/>
          <w:b/>
          <w:sz w:val="26"/>
          <w:szCs w:val="26"/>
          <w:u w:val="single"/>
        </w:rPr>
        <w:t xml:space="preserve">f </w:t>
      </w:r>
      <w:r w:rsidR="007B1716" w:rsidRPr="006C5CC5">
        <w:rPr>
          <w:rFonts w:ascii="Times New Roman" w:hAnsi="Times New Roman" w:cs="Times New Roman"/>
          <w:b/>
          <w:sz w:val="26"/>
          <w:szCs w:val="26"/>
          <w:u w:val="single"/>
        </w:rPr>
        <w:t>t</w:t>
      </w:r>
      <w:r w:rsidR="0071203A" w:rsidRPr="006C5CC5">
        <w:rPr>
          <w:rFonts w:ascii="Times New Roman" w:hAnsi="Times New Roman" w:cs="Times New Roman"/>
          <w:b/>
          <w:sz w:val="26"/>
          <w:szCs w:val="26"/>
          <w:u w:val="single"/>
        </w:rPr>
        <w:t>he Currently Proposed RCM Budget Model</w:t>
      </w:r>
    </w:p>
    <w:p w:rsidR="0055525B" w:rsidRPr="0055525B" w:rsidRDefault="007B1716" w:rsidP="0055525B">
      <w:pPr>
        <w:rPr>
          <w:rFonts w:ascii="Times New Roman" w:hAnsi="Times New Roman" w:cs="Times New Roman"/>
          <w:sz w:val="26"/>
          <w:szCs w:val="26"/>
        </w:rPr>
      </w:pPr>
      <w:r>
        <w:rPr>
          <w:rFonts w:ascii="Times New Roman" w:hAnsi="Times New Roman" w:cs="Times New Roman"/>
          <w:sz w:val="26"/>
          <w:szCs w:val="26"/>
        </w:rPr>
        <w:t xml:space="preserve">There are a number of issues/concerns </w:t>
      </w:r>
      <w:r w:rsidR="0055525B" w:rsidRPr="0055525B">
        <w:rPr>
          <w:rFonts w:ascii="Times New Roman" w:hAnsi="Times New Roman" w:cs="Times New Roman"/>
          <w:sz w:val="26"/>
          <w:szCs w:val="26"/>
        </w:rPr>
        <w:t xml:space="preserve">that have </w:t>
      </w:r>
      <w:r>
        <w:rPr>
          <w:rFonts w:ascii="Times New Roman" w:hAnsi="Times New Roman" w:cs="Times New Roman"/>
          <w:sz w:val="26"/>
          <w:szCs w:val="26"/>
        </w:rPr>
        <w:t>evolved</w:t>
      </w:r>
      <w:r w:rsidR="0055525B" w:rsidRPr="0055525B">
        <w:rPr>
          <w:rFonts w:ascii="Times New Roman" w:hAnsi="Times New Roman" w:cs="Times New Roman"/>
          <w:sz w:val="26"/>
          <w:szCs w:val="26"/>
        </w:rPr>
        <w:t xml:space="preserve"> from the subcommittee’s review of the proposed </w:t>
      </w:r>
      <w:r w:rsidR="00B63178">
        <w:rPr>
          <w:rFonts w:ascii="Times New Roman" w:hAnsi="Times New Roman" w:cs="Times New Roman"/>
          <w:sz w:val="26"/>
          <w:szCs w:val="26"/>
        </w:rPr>
        <w:t>RCM</w:t>
      </w:r>
      <w:r w:rsidR="0055525B" w:rsidRPr="0055525B">
        <w:rPr>
          <w:rFonts w:ascii="Times New Roman" w:hAnsi="Times New Roman" w:cs="Times New Roman"/>
          <w:sz w:val="26"/>
          <w:szCs w:val="26"/>
        </w:rPr>
        <w:t xml:space="preserve"> model. Some questions </w:t>
      </w:r>
      <w:r>
        <w:rPr>
          <w:rFonts w:ascii="Times New Roman" w:hAnsi="Times New Roman" w:cs="Times New Roman"/>
          <w:sz w:val="26"/>
          <w:szCs w:val="26"/>
        </w:rPr>
        <w:t>are more related to implementation and oversight of the new approach to budgeting proposed for Auburn</w:t>
      </w:r>
      <w:r w:rsidR="00E63CD7">
        <w:rPr>
          <w:rFonts w:ascii="Times New Roman" w:hAnsi="Times New Roman" w:cs="Times New Roman"/>
          <w:sz w:val="26"/>
          <w:szCs w:val="26"/>
        </w:rPr>
        <w:t>,</w:t>
      </w:r>
      <w:r>
        <w:rPr>
          <w:rFonts w:ascii="Times New Roman" w:hAnsi="Times New Roman" w:cs="Times New Roman"/>
          <w:sz w:val="26"/>
          <w:szCs w:val="26"/>
        </w:rPr>
        <w:t xml:space="preserve"> while o</w:t>
      </w:r>
      <w:r w:rsidR="0055525B" w:rsidRPr="0055525B">
        <w:rPr>
          <w:rFonts w:ascii="Times New Roman" w:hAnsi="Times New Roman" w:cs="Times New Roman"/>
          <w:sz w:val="26"/>
          <w:szCs w:val="26"/>
        </w:rPr>
        <w:t>thers are more related to the model’s structure.</w:t>
      </w:r>
      <w:r>
        <w:rPr>
          <w:rFonts w:ascii="Times New Roman" w:hAnsi="Times New Roman" w:cs="Times New Roman"/>
          <w:sz w:val="26"/>
          <w:szCs w:val="26"/>
        </w:rPr>
        <w:t xml:space="preserve"> A short list of some of those concerns follows:</w:t>
      </w:r>
      <w:r w:rsidRPr="0055525B">
        <w:rPr>
          <w:rFonts w:ascii="Times New Roman" w:hAnsi="Times New Roman" w:cs="Times New Roman"/>
          <w:sz w:val="26"/>
          <w:szCs w:val="26"/>
        </w:rPr>
        <w:t xml:space="preserve"> </w:t>
      </w:r>
    </w:p>
    <w:p w:rsidR="0055525B" w:rsidRDefault="0055525B" w:rsidP="0055525B">
      <w:pPr>
        <w:numPr>
          <w:ilvl w:val="0"/>
          <w:numId w:val="8"/>
        </w:numPr>
        <w:rPr>
          <w:rFonts w:ascii="Times New Roman" w:hAnsi="Times New Roman" w:cs="Times New Roman"/>
          <w:sz w:val="26"/>
          <w:szCs w:val="26"/>
        </w:rPr>
      </w:pPr>
      <w:r w:rsidRPr="0055525B">
        <w:rPr>
          <w:rFonts w:ascii="Times New Roman" w:hAnsi="Times New Roman" w:cs="Times New Roman"/>
          <w:sz w:val="26"/>
          <w:szCs w:val="26"/>
        </w:rPr>
        <w:t>There is co</w:t>
      </w:r>
      <w:r w:rsidR="00546218">
        <w:rPr>
          <w:rFonts w:ascii="Times New Roman" w:hAnsi="Times New Roman" w:cs="Times New Roman"/>
          <w:sz w:val="26"/>
          <w:szCs w:val="26"/>
        </w:rPr>
        <w:t xml:space="preserve">ncern </w:t>
      </w:r>
      <w:r w:rsidR="0071203A">
        <w:rPr>
          <w:rFonts w:ascii="Times New Roman" w:hAnsi="Times New Roman" w:cs="Times New Roman"/>
          <w:sz w:val="26"/>
          <w:szCs w:val="26"/>
        </w:rPr>
        <w:t>that the</w:t>
      </w:r>
      <w:r w:rsidR="00546218">
        <w:rPr>
          <w:rFonts w:ascii="Times New Roman" w:hAnsi="Times New Roman" w:cs="Times New Roman"/>
          <w:sz w:val="26"/>
          <w:szCs w:val="26"/>
        </w:rPr>
        <w:t xml:space="preserve"> model </w:t>
      </w:r>
      <w:r w:rsidRPr="0055525B">
        <w:rPr>
          <w:rFonts w:ascii="Times New Roman" w:hAnsi="Times New Roman" w:cs="Times New Roman"/>
          <w:sz w:val="26"/>
          <w:szCs w:val="26"/>
        </w:rPr>
        <w:t xml:space="preserve">could produce swings in </w:t>
      </w:r>
      <w:r w:rsidR="00B81C7A">
        <w:rPr>
          <w:rFonts w:ascii="Times New Roman" w:hAnsi="Times New Roman" w:cs="Times New Roman"/>
          <w:sz w:val="26"/>
          <w:szCs w:val="26"/>
        </w:rPr>
        <w:t>the annual resources</w:t>
      </w:r>
      <w:r w:rsidRPr="0055525B">
        <w:rPr>
          <w:rFonts w:ascii="Times New Roman" w:hAnsi="Times New Roman" w:cs="Times New Roman"/>
          <w:sz w:val="26"/>
          <w:szCs w:val="26"/>
        </w:rPr>
        <w:t xml:space="preserve"> available for a college or school’s operational expenditures that would make it difficult for them to pl</w:t>
      </w:r>
      <w:r w:rsidR="00B81C7A">
        <w:rPr>
          <w:rFonts w:ascii="Times New Roman" w:hAnsi="Times New Roman" w:cs="Times New Roman"/>
          <w:sz w:val="26"/>
          <w:szCs w:val="26"/>
        </w:rPr>
        <w:t xml:space="preserve">an. For this reason there is </w:t>
      </w:r>
      <w:r w:rsidRPr="0055525B">
        <w:rPr>
          <w:rFonts w:ascii="Times New Roman" w:hAnsi="Times New Roman" w:cs="Times New Roman"/>
          <w:sz w:val="26"/>
          <w:szCs w:val="26"/>
        </w:rPr>
        <w:t>interest in establishing some maximum year-to-year variation, in ter</w:t>
      </w:r>
      <w:r w:rsidR="006C0FCC">
        <w:rPr>
          <w:rFonts w:ascii="Times New Roman" w:hAnsi="Times New Roman" w:cs="Times New Roman"/>
          <w:sz w:val="26"/>
          <w:szCs w:val="26"/>
        </w:rPr>
        <w:t>ms of a percent of total revenue</w:t>
      </w:r>
      <w:r w:rsidRPr="0055525B">
        <w:rPr>
          <w:rFonts w:ascii="Times New Roman" w:hAnsi="Times New Roman" w:cs="Times New Roman"/>
          <w:sz w:val="26"/>
          <w:szCs w:val="26"/>
        </w:rPr>
        <w:t>.</w:t>
      </w:r>
    </w:p>
    <w:p w:rsidR="00A87B8A" w:rsidRPr="00A87B8A" w:rsidRDefault="00A87B8A" w:rsidP="00A87B8A">
      <w:pPr>
        <w:numPr>
          <w:ilvl w:val="0"/>
          <w:numId w:val="8"/>
        </w:numPr>
        <w:rPr>
          <w:rFonts w:ascii="Times New Roman" w:hAnsi="Times New Roman" w:cs="Times New Roman"/>
          <w:sz w:val="26"/>
          <w:szCs w:val="26"/>
        </w:rPr>
      </w:pPr>
      <w:r>
        <w:rPr>
          <w:rFonts w:ascii="Times New Roman" w:hAnsi="Times New Roman" w:cs="Times New Roman"/>
          <w:sz w:val="26"/>
          <w:szCs w:val="26"/>
        </w:rPr>
        <w:t xml:space="preserve">There is concern about the magnitude of the shortfalls associated with higher cost programs under the approach to tuition (and other </w:t>
      </w:r>
      <w:r w:rsidR="00737C73">
        <w:rPr>
          <w:rFonts w:ascii="Times New Roman" w:hAnsi="Times New Roman" w:cs="Times New Roman"/>
          <w:sz w:val="26"/>
          <w:szCs w:val="26"/>
        </w:rPr>
        <w:t>allocated</w:t>
      </w:r>
      <w:r>
        <w:rPr>
          <w:rFonts w:ascii="Times New Roman" w:hAnsi="Times New Roman" w:cs="Times New Roman"/>
          <w:sz w:val="26"/>
          <w:szCs w:val="26"/>
        </w:rPr>
        <w:t xml:space="preserve"> revenues) allocation being recommended. The goal of </w:t>
      </w:r>
      <w:r w:rsidR="00737C73">
        <w:rPr>
          <w:rFonts w:ascii="Times New Roman" w:hAnsi="Times New Roman" w:cs="Times New Roman"/>
          <w:sz w:val="26"/>
          <w:szCs w:val="26"/>
        </w:rPr>
        <w:t xml:space="preserve">many </w:t>
      </w:r>
      <w:r>
        <w:rPr>
          <w:rFonts w:ascii="Times New Roman" w:hAnsi="Times New Roman" w:cs="Times New Roman"/>
          <w:sz w:val="26"/>
          <w:szCs w:val="26"/>
        </w:rPr>
        <w:t>RCM model</w:t>
      </w:r>
      <w:r w:rsidR="00737C73">
        <w:rPr>
          <w:rFonts w:ascii="Times New Roman" w:hAnsi="Times New Roman" w:cs="Times New Roman"/>
          <w:sz w:val="26"/>
          <w:szCs w:val="26"/>
        </w:rPr>
        <w:t>s</w:t>
      </w:r>
      <w:r>
        <w:rPr>
          <w:rFonts w:ascii="Times New Roman" w:hAnsi="Times New Roman" w:cs="Times New Roman"/>
          <w:sz w:val="26"/>
          <w:szCs w:val="26"/>
        </w:rPr>
        <w:t xml:space="preserve"> is to incentivize managers to become more efficient and to generate revenues in excess of their costs, which they can then carryover to future years for special projects.  Under the current</w:t>
      </w:r>
      <w:r w:rsidR="006C0FCC">
        <w:rPr>
          <w:rFonts w:ascii="Times New Roman" w:hAnsi="Times New Roman" w:cs="Times New Roman"/>
          <w:sz w:val="26"/>
          <w:szCs w:val="26"/>
        </w:rPr>
        <w:t>ly proposed</w:t>
      </w:r>
      <w:r>
        <w:rPr>
          <w:rFonts w:ascii="Times New Roman" w:hAnsi="Times New Roman" w:cs="Times New Roman"/>
          <w:sz w:val="26"/>
          <w:szCs w:val="26"/>
        </w:rPr>
        <w:t xml:space="preserve"> allocation method, it is unlikely that many colleges will reach the breakeven level</w:t>
      </w:r>
      <w:r w:rsidR="00546218">
        <w:rPr>
          <w:rFonts w:ascii="Times New Roman" w:hAnsi="Times New Roman" w:cs="Times New Roman"/>
          <w:sz w:val="26"/>
          <w:szCs w:val="26"/>
        </w:rPr>
        <w:t xml:space="preserve"> without MEF funding</w:t>
      </w:r>
      <w:r>
        <w:rPr>
          <w:rFonts w:ascii="Times New Roman" w:hAnsi="Times New Roman" w:cs="Times New Roman"/>
          <w:sz w:val="26"/>
          <w:szCs w:val="26"/>
        </w:rPr>
        <w:t>.</w:t>
      </w:r>
    </w:p>
    <w:p w:rsidR="0055525B" w:rsidRDefault="00546218" w:rsidP="0055525B">
      <w:pPr>
        <w:numPr>
          <w:ilvl w:val="0"/>
          <w:numId w:val="8"/>
        </w:numPr>
        <w:rPr>
          <w:rFonts w:ascii="Times New Roman" w:hAnsi="Times New Roman" w:cs="Times New Roman"/>
          <w:sz w:val="26"/>
          <w:szCs w:val="26"/>
        </w:rPr>
      </w:pPr>
      <w:r>
        <w:rPr>
          <w:rFonts w:ascii="Times New Roman" w:hAnsi="Times New Roman" w:cs="Times New Roman"/>
          <w:sz w:val="26"/>
          <w:szCs w:val="26"/>
        </w:rPr>
        <w:t xml:space="preserve">How </w:t>
      </w:r>
      <w:r w:rsidR="0071203A">
        <w:rPr>
          <w:rFonts w:ascii="Times New Roman" w:hAnsi="Times New Roman" w:cs="Times New Roman"/>
          <w:sz w:val="26"/>
          <w:szCs w:val="26"/>
        </w:rPr>
        <w:t xml:space="preserve">will </w:t>
      </w:r>
      <w:r w:rsidR="0055525B" w:rsidRPr="0055525B">
        <w:rPr>
          <w:rFonts w:ascii="Times New Roman" w:hAnsi="Times New Roman" w:cs="Times New Roman"/>
          <w:sz w:val="26"/>
          <w:szCs w:val="26"/>
        </w:rPr>
        <w:t xml:space="preserve">the historical distributions of funds by deans within the colleges compare to the proposed </w:t>
      </w:r>
      <w:r w:rsidR="00B63178">
        <w:rPr>
          <w:rFonts w:ascii="Times New Roman" w:hAnsi="Times New Roman" w:cs="Times New Roman"/>
          <w:sz w:val="26"/>
          <w:szCs w:val="26"/>
        </w:rPr>
        <w:t>RCM</w:t>
      </w:r>
      <w:r w:rsidR="0055525B" w:rsidRPr="0055525B">
        <w:rPr>
          <w:rFonts w:ascii="Times New Roman" w:hAnsi="Times New Roman" w:cs="Times New Roman"/>
          <w:sz w:val="26"/>
          <w:szCs w:val="26"/>
        </w:rPr>
        <w:t xml:space="preserve"> model distributions?</w:t>
      </w:r>
      <w:r w:rsidR="008402EA">
        <w:rPr>
          <w:rFonts w:ascii="Times New Roman" w:hAnsi="Times New Roman" w:cs="Times New Roman"/>
          <w:sz w:val="26"/>
          <w:szCs w:val="26"/>
        </w:rPr>
        <w:t xml:space="preserve">  Will there be comparable incentives in place for departments and will they be rewarded for increased efficiency?</w:t>
      </w:r>
    </w:p>
    <w:p w:rsidR="008402EA" w:rsidRDefault="008402EA" w:rsidP="0055525B">
      <w:pPr>
        <w:numPr>
          <w:ilvl w:val="0"/>
          <w:numId w:val="8"/>
        </w:numPr>
        <w:rPr>
          <w:rFonts w:ascii="Times New Roman" w:hAnsi="Times New Roman" w:cs="Times New Roman"/>
          <w:sz w:val="26"/>
          <w:szCs w:val="26"/>
        </w:rPr>
      </w:pPr>
      <w:r>
        <w:rPr>
          <w:rFonts w:ascii="Times New Roman" w:hAnsi="Times New Roman" w:cs="Times New Roman"/>
          <w:sz w:val="26"/>
          <w:szCs w:val="26"/>
        </w:rPr>
        <w:t xml:space="preserve">More detail is needed about procedures for monitoring the effectiveness of any new modeling framework that is ultimately adopted.  Fixed cost charges and bases for those charges will require regular oversight.  </w:t>
      </w:r>
    </w:p>
    <w:p w:rsidR="003D5C85" w:rsidRPr="0055525B" w:rsidRDefault="003D5C85" w:rsidP="003D5C85">
      <w:pPr>
        <w:rPr>
          <w:rFonts w:ascii="Times New Roman" w:hAnsi="Times New Roman" w:cs="Times New Roman"/>
          <w:sz w:val="26"/>
          <w:szCs w:val="26"/>
        </w:rPr>
      </w:pPr>
    </w:p>
    <w:p w:rsidR="0055525B" w:rsidRPr="0055525B" w:rsidRDefault="007B1716" w:rsidP="0055525B">
      <w:pPr>
        <w:rPr>
          <w:rFonts w:ascii="Times New Roman" w:hAnsi="Times New Roman" w:cs="Times New Roman"/>
          <w:sz w:val="26"/>
          <w:szCs w:val="26"/>
        </w:rPr>
      </w:pPr>
      <w:r>
        <w:rPr>
          <w:rFonts w:ascii="Times New Roman" w:hAnsi="Times New Roman" w:cs="Times New Roman"/>
          <w:sz w:val="26"/>
          <w:szCs w:val="26"/>
        </w:rPr>
        <w:t xml:space="preserve">As a committee response to addressing some of these concerns, several sub-committees were charged with examining specific questions including the method of allocating tuition and fees, </w:t>
      </w:r>
      <w:r w:rsidR="00861036">
        <w:rPr>
          <w:rFonts w:ascii="Times New Roman" w:hAnsi="Times New Roman" w:cs="Times New Roman"/>
          <w:sz w:val="26"/>
          <w:szCs w:val="26"/>
        </w:rPr>
        <w:t>the specification of allocation bases for cost pools, and implementation oversight.</w:t>
      </w:r>
    </w:p>
    <w:p w:rsidR="008402EA" w:rsidRDefault="008402EA" w:rsidP="0055525B">
      <w:pPr>
        <w:rPr>
          <w:rFonts w:ascii="Times New Roman" w:hAnsi="Times New Roman" w:cs="Times New Roman"/>
          <w:b/>
          <w:sz w:val="26"/>
          <w:szCs w:val="26"/>
        </w:rPr>
      </w:pPr>
    </w:p>
    <w:p w:rsidR="008402EA" w:rsidRDefault="00861036" w:rsidP="009106FF">
      <w:pPr>
        <w:rPr>
          <w:rFonts w:ascii="Times New Roman" w:hAnsi="Times New Roman" w:cs="Times New Roman"/>
          <w:b/>
          <w:sz w:val="26"/>
          <w:szCs w:val="26"/>
        </w:rPr>
      </w:pPr>
      <w:r>
        <w:rPr>
          <w:rFonts w:ascii="Times New Roman" w:hAnsi="Times New Roman" w:cs="Times New Roman"/>
          <w:b/>
          <w:sz w:val="26"/>
          <w:szCs w:val="26"/>
        </w:rPr>
        <w:t xml:space="preserve">Tuition/Fees Allocation and </w:t>
      </w:r>
      <w:r w:rsidR="008402EA" w:rsidRPr="008402EA">
        <w:rPr>
          <w:rFonts w:ascii="Times New Roman" w:hAnsi="Times New Roman" w:cs="Times New Roman"/>
          <w:b/>
          <w:sz w:val="26"/>
          <w:szCs w:val="26"/>
        </w:rPr>
        <w:t>Basic Modeling Suggestions</w:t>
      </w:r>
    </w:p>
    <w:p w:rsidR="008402EA" w:rsidRDefault="008402EA" w:rsidP="009106FF">
      <w:pPr>
        <w:rPr>
          <w:rFonts w:ascii="Times New Roman" w:hAnsi="Times New Roman" w:cs="Times New Roman"/>
          <w:sz w:val="26"/>
          <w:szCs w:val="26"/>
        </w:rPr>
      </w:pPr>
      <w:r>
        <w:rPr>
          <w:rFonts w:ascii="Times New Roman" w:hAnsi="Times New Roman" w:cs="Times New Roman"/>
          <w:sz w:val="26"/>
          <w:szCs w:val="26"/>
        </w:rPr>
        <w:t>Of the numbered concerns mentioned above, 1) and 2) were discussed most frequently in committee meetings.</w:t>
      </w:r>
      <w:r w:rsidR="007D515C">
        <w:rPr>
          <w:rFonts w:ascii="Times New Roman" w:hAnsi="Times New Roman" w:cs="Times New Roman"/>
          <w:sz w:val="26"/>
          <w:szCs w:val="26"/>
        </w:rPr>
        <w:t xml:space="preserve">  Number 1 relates to concern about the subjectivity associated with evaluating a unit’s performance that generates a negative margin.  Under the curren</w:t>
      </w:r>
      <w:r w:rsidR="00546218">
        <w:rPr>
          <w:rFonts w:ascii="Times New Roman" w:hAnsi="Times New Roman" w:cs="Times New Roman"/>
          <w:sz w:val="26"/>
          <w:szCs w:val="26"/>
        </w:rPr>
        <w:t>t proposal, a MEF will be generated through the participation rate</w:t>
      </w:r>
      <w:r w:rsidR="007D515C">
        <w:rPr>
          <w:rFonts w:ascii="Times New Roman" w:hAnsi="Times New Roman" w:cs="Times New Roman"/>
          <w:sz w:val="26"/>
          <w:szCs w:val="26"/>
        </w:rPr>
        <w:t xml:space="preserve"> that can bring negative margins back to zero such that all unit costs can be met.  According to the Provost, following a shadow year where parallel accounting systems will allow the deans to learn </w:t>
      </w:r>
      <w:r w:rsidR="007D515C">
        <w:rPr>
          <w:rFonts w:ascii="Times New Roman" w:hAnsi="Times New Roman" w:cs="Times New Roman"/>
          <w:sz w:val="26"/>
          <w:szCs w:val="26"/>
        </w:rPr>
        <w:lastRenderedPageBreak/>
        <w:t>how they would actually fare under the new system, actual implementation of the system will take place.  For the first year, all units that indicate a negative margin through the budgeting process will be given s</w:t>
      </w:r>
      <w:r w:rsidR="00546218">
        <w:rPr>
          <w:rFonts w:ascii="Times New Roman" w:hAnsi="Times New Roman" w:cs="Times New Roman"/>
          <w:sz w:val="26"/>
          <w:szCs w:val="26"/>
        </w:rPr>
        <w:t>ufficient resources from the MEF</w:t>
      </w:r>
      <w:r w:rsidR="007D515C">
        <w:rPr>
          <w:rFonts w:ascii="Times New Roman" w:hAnsi="Times New Roman" w:cs="Times New Roman"/>
          <w:sz w:val="26"/>
          <w:szCs w:val="26"/>
        </w:rPr>
        <w:t xml:space="preserve"> to meet their budget.  In subsequent years, that may not be the case.  The Provost (whoever that may be at the time) may choose to encourage additional efficiencies by withholding </w:t>
      </w:r>
      <w:r w:rsidR="008F3178">
        <w:rPr>
          <w:rFonts w:ascii="Times New Roman" w:hAnsi="Times New Roman" w:cs="Times New Roman"/>
          <w:sz w:val="26"/>
          <w:szCs w:val="26"/>
        </w:rPr>
        <w:t xml:space="preserve">a portion of the </w:t>
      </w:r>
      <w:r w:rsidR="00737C73">
        <w:rPr>
          <w:rFonts w:ascii="Times New Roman" w:hAnsi="Times New Roman" w:cs="Times New Roman"/>
          <w:sz w:val="26"/>
          <w:szCs w:val="26"/>
        </w:rPr>
        <w:t xml:space="preserve">funding needed to offset an otherwise </w:t>
      </w:r>
      <w:r w:rsidR="008F3178">
        <w:rPr>
          <w:rFonts w:ascii="Times New Roman" w:hAnsi="Times New Roman" w:cs="Times New Roman"/>
          <w:sz w:val="26"/>
          <w:szCs w:val="26"/>
        </w:rPr>
        <w:t xml:space="preserve">negative </w:t>
      </w:r>
      <w:r w:rsidR="00737C73">
        <w:rPr>
          <w:rFonts w:ascii="Times New Roman" w:hAnsi="Times New Roman" w:cs="Times New Roman"/>
          <w:sz w:val="26"/>
          <w:szCs w:val="26"/>
        </w:rPr>
        <w:t xml:space="preserve">budgeted </w:t>
      </w:r>
      <w:r w:rsidR="008F3178">
        <w:rPr>
          <w:rFonts w:ascii="Times New Roman" w:hAnsi="Times New Roman" w:cs="Times New Roman"/>
          <w:sz w:val="26"/>
          <w:szCs w:val="26"/>
        </w:rPr>
        <w:t>margin.  For colleges that are anticipated to forecast negative margins into the foreseeable future due to their high costs, this situation is very disconcerting.  A gua</w:t>
      </w:r>
      <w:r w:rsidR="00B81C7A">
        <w:rPr>
          <w:rFonts w:ascii="Times New Roman" w:hAnsi="Times New Roman" w:cs="Times New Roman"/>
          <w:sz w:val="26"/>
          <w:szCs w:val="26"/>
        </w:rPr>
        <w:t xml:space="preserve">ranteed maximum reduction in </w:t>
      </w:r>
      <w:r w:rsidR="009A43C6">
        <w:rPr>
          <w:rFonts w:ascii="Times New Roman" w:hAnsi="Times New Roman" w:cs="Times New Roman"/>
          <w:sz w:val="26"/>
          <w:szCs w:val="26"/>
        </w:rPr>
        <w:t xml:space="preserve">revenue </w:t>
      </w:r>
      <w:r w:rsidR="00B81C7A">
        <w:rPr>
          <w:rFonts w:ascii="Times New Roman" w:hAnsi="Times New Roman" w:cs="Times New Roman"/>
          <w:sz w:val="26"/>
          <w:szCs w:val="26"/>
        </w:rPr>
        <w:t>contributions</w:t>
      </w:r>
      <w:r w:rsidR="008F3178">
        <w:rPr>
          <w:rFonts w:ascii="Times New Roman" w:hAnsi="Times New Roman" w:cs="Times New Roman"/>
          <w:sz w:val="26"/>
          <w:szCs w:val="26"/>
        </w:rPr>
        <w:t xml:space="preserve"> of something on the order of 5% from one year to the next would alleviate </w:t>
      </w:r>
      <w:r w:rsidR="00546218">
        <w:rPr>
          <w:rFonts w:ascii="Times New Roman" w:hAnsi="Times New Roman" w:cs="Times New Roman"/>
          <w:sz w:val="26"/>
          <w:szCs w:val="26"/>
        </w:rPr>
        <w:t>much</w:t>
      </w:r>
      <w:r w:rsidR="008F3178">
        <w:rPr>
          <w:rFonts w:ascii="Times New Roman" w:hAnsi="Times New Roman" w:cs="Times New Roman"/>
          <w:sz w:val="26"/>
          <w:szCs w:val="26"/>
        </w:rPr>
        <w:t xml:space="preserve"> of that anxiety.</w:t>
      </w:r>
    </w:p>
    <w:p w:rsidR="00B431F5" w:rsidRDefault="00B431F5" w:rsidP="009106FF">
      <w:pPr>
        <w:rPr>
          <w:rFonts w:ascii="Times New Roman" w:hAnsi="Times New Roman" w:cs="Times New Roman"/>
          <w:sz w:val="26"/>
          <w:szCs w:val="26"/>
        </w:rPr>
      </w:pPr>
    </w:p>
    <w:p w:rsidR="00546218" w:rsidRDefault="00546218" w:rsidP="009106FF">
      <w:pPr>
        <w:rPr>
          <w:rFonts w:ascii="Times New Roman" w:hAnsi="Times New Roman" w:cs="Times New Roman"/>
          <w:sz w:val="26"/>
          <w:szCs w:val="26"/>
        </w:rPr>
      </w:pPr>
      <w:r>
        <w:rPr>
          <w:rFonts w:ascii="Times New Roman" w:hAnsi="Times New Roman" w:cs="Times New Roman"/>
          <w:sz w:val="26"/>
          <w:szCs w:val="26"/>
        </w:rPr>
        <w:t xml:space="preserve">Concern number 2) relates to the fact that </w:t>
      </w:r>
      <w:r w:rsidR="0034478F">
        <w:rPr>
          <w:rFonts w:ascii="Times New Roman" w:hAnsi="Times New Roman" w:cs="Times New Roman"/>
          <w:sz w:val="26"/>
          <w:szCs w:val="26"/>
        </w:rPr>
        <w:t xml:space="preserve">under currently proposed allocation procedures, </w:t>
      </w:r>
      <w:r>
        <w:rPr>
          <w:rFonts w:ascii="Times New Roman" w:hAnsi="Times New Roman" w:cs="Times New Roman"/>
          <w:sz w:val="26"/>
          <w:szCs w:val="26"/>
        </w:rPr>
        <w:t>high cost programs will</w:t>
      </w:r>
      <w:r w:rsidR="0034478F">
        <w:rPr>
          <w:rFonts w:ascii="Times New Roman" w:hAnsi="Times New Roman" w:cs="Times New Roman"/>
          <w:sz w:val="26"/>
          <w:szCs w:val="26"/>
        </w:rPr>
        <w:t xml:space="preserve"> likely never get to breakeven without help from the MEF and</w:t>
      </w:r>
      <w:r w:rsidR="00737C73">
        <w:rPr>
          <w:rFonts w:ascii="Times New Roman" w:hAnsi="Times New Roman" w:cs="Times New Roman"/>
          <w:sz w:val="26"/>
          <w:szCs w:val="26"/>
        </w:rPr>
        <w:t>,</w:t>
      </w:r>
      <w:r w:rsidR="009A43C6">
        <w:rPr>
          <w:rFonts w:ascii="Times New Roman" w:hAnsi="Times New Roman" w:cs="Times New Roman"/>
          <w:sz w:val="26"/>
          <w:szCs w:val="26"/>
        </w:rPr>
        <w:t xml:space="preserve"> as a result, seldom (if ever)</w:t>
      </w:r>
      <w:r w:rsidR="0034478F">
        <w:rPr>
          <w:rFonts w:ascii="Times New Roman" w:hAnsi="Times New Roman" w:cs="Times New Roman"/>
          <w:sz w:val="26"/>
          <w:szCs w:val="26"/>
        </w:rPr>
        <w:t xml:space="preserve"> </w:t>
      </w:r>
      <w:r w:rsidR="003D5C85">
        <w:rPr>
          <w:rFonts w:ascii="Times New Roman" w:hAnsi="Times New Roman" w:cs="Times New Roman"/>
          <w:sz w:val="26"/>
          <w:szCs w:val="26"/>
        </w:rPr>
        <w:t xml:space="preserve">be </w:t>
      </w:r>
      <w:r w:rsidR="0034478F">
        <w:rPr>
          <w:rFonts w:ascii="Times New Roman" w:hAnsi="Times New Roman" w:cs="Times New Roman"/>
          <w:sz w:val="26"/>
          <w:szCs w:val="26"/>
        </w:rPr>
        <w:t>in a position to build reserves with carryover funds.</w:t>
      </w:r>
      <w:r w:rsidR="00AF5382">
        <w:rPr>
          <w:rFonts w:ascii="Times New Roman" w:hAnsi="Times New Roman" w:cs="Times New Roman"/>
          <w:sz w:val="26"/>
          <w:szCs w:val="26"/>
        </w:rPr>
        <w:t xml:space="preserve">  </w:t>
      </w:r>
      <w:r w:rsidR="00E63CD7">
        <w:rPr>
          <w:rFonts w:ascii="Times New Roman" w:hAnsi="Times New Roman" w:cs="Times New Roman"/>
          <w:sz w:val="26"/>
          <w:szCs w:val="26"/>
        </w:rPr>
        <w:t xml:space="preserve">This </w:t>
      </w:r>
      <w:r w:rsidR="00AF5382">
        <w:rPr>
          <w:rFonts w:ascii="Times New Roman" w:hAnsi="Times New Roman" w:cs="Times New Roman"/>
          <w:sz w:val="26"/>
          <w:szCs w:val="26"/>
        </w:rPr>
        <w:t>Committee</w:t>
      </w:r>
      <w:r w:rsidR="00E63CD7">
        <w:rPr>
          <w:rFonts w:ascii="Times New Roman" w:hAnsi="Times New Roman" w:cs="Times New Roman"/>
          <w:sz w:val="26"/>
          <w:szCs w:val="26"/>
        </w:rPr>
        <w:t>’s</w:t>
      </w:r>
      <w:r w:rsidR="00AF5382">
        <w:rPr>
          <w:rFonts w:ascii="Times New Roman" w:hAnsi="Times New Roman" w:cs="Times New Roman"/>
          <w:sz w:val="26"/>
          <w:szCs w:val="26"/>
        </w:rPr>
        <w:t xml:space="preserve"> d</w:t>
      </w:r>
      <w:r w:rsidR="008148B2">
        <w:rPr>
          <w:rFonts w:ascii="Times New Roman" w:hAnsi="Times New Roman" w:cs="Times New Roman"/>
          <w:sz w:val="26"/>
          <w:szCs w:val="26"/>
        </w:rPr>
        <w:t xml:space="preserve">iscussion centered </w:t>
      </w:r>
      <w:r w:rsidR="00E63CD7">
        <w:rPr>
          <w:rFonts w:ascii="Times New Roman" w:hAnsi="Times New Roman" w:cs="Times New Roman"/>
          <w:sz w:val="26"/>
          <w:szCs w:val="26"/>
        </w:rPr>
        <w:t xml:space="preserve">upon </w:t>
      </w:r>
      <w:r w:rsidR="008148B2">
        <w:rPr>
          <w:rFonts w:ascii="Times New Roman" w:hAnsi="Times New Roman" w:cs="Times New Roman"/>
          <w:sz w:val="26"/>
          <w:szCs w:val="26"/>
        </w:rPr>
        <w:t xml:space="preserve">finding a way to allocate Division 1 resources to Colleges and Schools so that fewer units were left with </w:t>
      </w:r>
      <w:r w:rsidR="009A43C6">
        <w:rPr>
          <w:rFonts w:ascii="Times New Roman" w:hAnsi="Times New Roman" w:cs="Times New Roman"/>
          <w:sz w:val="26"/>
          <w:szCs w:val="26"/>
        </w:rPr>
        <w:t xml:space="preserve">large </w:t>
      </w:r>
      <w:r w:rsidR="008148B2">
        <w:rPr>
          <w:rFonts w:ascii="Times New Roman" w:hAnsi="Times New Roman" w:cs="Times New Roman"/>
          <w:sz w:val="26"/>
          <w:szCs w:val="26"/>
        </w:rPr>
        <w:t>negative margins and so that the sum of the negative margins was less.  This led to the examination of two different approaches to allocating resources to units from the Division 1 pool.</w:t>
      </w:r>
    </w:p>
    <w:p w:rsidR="006C5CC5" w:rsidRDefault="006C5CC5" w:rsidP="009106FF">
      <w:pPr>
        <w:rPr>
          <w:rFonts w:ascii="Times New Roman" w:hAnsi="Times New Roman" w:cs="Times New Roman"/>
          <w:sz w:val="26"/>
          <w:szCs w:val="26"/>
        </w:rPr>
      </w:pPr>
    </w:p>
    <w:p w:rsidR="008148B2" w:rsidRDefault="008148B2" w:rsidP="009106FF">
      <w:pPr>
        <w:rPr>
          <w:rFonts w:ascii="Times New Roman" w:hAnsi="Times New Roman" w:cs="Times New Roman"/>
          <w:sz w:val="26"/>
          <w:szCs w:val="26"/>
        </w:rPr>
      </w:pPr>
      <w:r>
        <w:rPr>
          <w:rFonts w:ascii="Times New Roman" w:hAnsi="Times New Roman" w:cs="Times New Roman"/>
          <w:sz w:val="26"/>
          <w:szCs w:val="26"/>
        </w:rPr>
        <w:t xml:space="preserve">The first of these approaches proposed acknowledging that there are differences in the cost of instruction per student credit hour across the 65 departments on campus.  </w:t>
      </w:r>
      <w:r w:rsidR="008668F3">
        <w:rPr>
          <w:rFonts w:ascii="Times New Roman" w:hAnsi="Times New Roman" w:cs="Times New Roman"/>
          <w:sz w:val="26"/>
          <w:szCs w:val="26"/>
        </w:rPr>
        <w:t xml:space="preserve">Several </w:t>
      </w:r>
      <w:r>
        <w:rPr>
          <w:rFonts w:ascii="Times New Roman" w:hAnsi="Times New Roman" w:cs="Times New Roman"/>
          <w:sz w:val="26"/>
          <w:szCs w:val="26"/>
        </w:rPr>
        <w:t>other schools implementing RCM have recognized these differences through the application of weights</w:t>
      </w:r>
      <w:r w:rsidR="00A424A4">
        <w:rPr>
          <w:rFonts w:ascii="Times New Roman" w:hAnsi="Times New Roman" w:cs="Times New Roman"/>
          <w:sz w:val="26"/>
          <w:szCs w:val="26"/>
        </w:rPr>
        <w:t xml:space="preserve">.  According to the </w:t>
      </w:r>
      <w:hyperlink r:id="rId9" w:history="1">
        <w:r w:rsidR="00A424A4" w:rsidRPr="00A424A4">
          <w:rPr>
            <w:rStyle w:val="Hyperlink"/>
            <w:rFonts w:ascii="Times New Roman" w:hAnsi="Times New Roman" w:cs="Times New Roman"/>
            <w:color w:val="auto"/>
            <w:sz w:val="26"/>
            <w:szCs w:val="26"/>
            <w:u w:val="none"/>
          </w:rPr>
          <w:t>National Study of Instructional Costs and Productivity (Delaware Cost Study)</w:t>
        </w:r>
      </w:hyperlink>
      <w:r w:rsidR="00A424A4">
        <w:rPr>
          <w:rFonts w:ascii="Times New Roman" w:hAnsi="Times New Roman" w:cs="Times New Roman"/>
          <w:sz w:val="26"/>
          <w:szCs w:val="26"/>
        </w:rPr>
        <w:t>, national norm cost</w:t>
      </w:r>
      <w:r w:rsidR="00AF5382">
        <w:rPr>
          <w:rFonts w:ascii="Times New Roman" w:hAnsi="Times New Roman" w:cs="Times New Roman"/>
          <w:sz w:val="26"/>
          <w:szCs w:val="26"/>
        </w:rPr>
        <w:t>s</w:t>
      </w:r>
      <w:r w:rsidR="00A424A4">
        <w:rPr>
          <w:rFonts w:ascii="Times New Roman" w:hAnsi="Times New Roman" w:cs="Times New Roman"/>
          <w:sz w:val="26"/>
          <w:szCs w:val="26"/>
        </w:rPr>
        <w:t xml:space="preserve"> per student credit hour </w:t>
      </w:r>
      <w:r w:rsidR="00B81C7A">
        <w:rPr>
          <w:rFonts w:ascii="Times New Roman" w:hAnsi="Times New Roman" w:cs="Times New Roman"/>
          <w:sz w:val="26"/>
          <w:szCs w:val="26"/>
        </w:rPr>
        <w:t xml:space="preserve">(by department) </w:t>
      </w:r>
      <w:r w:rsidR="00A424A4">
        <w:rPr>
          <w:rFonts w:ascii="Times New Roman" w:hAnsi="Times New Roman" w:cs="Times New Roman"/>
          <w:sz w:val="26"/>
          <w:szCs w:val="26"/>
        </w:rPr>
        <w:t xml:space="preserve">range from </w:t>
      </w:r>
      <w:r w:rsidR="0093051D">
        <w:rPr>
          <w:rFonts w:ascii="Times New Roman" w:hAnsi="Times New Roman" w:cs="Times New Roman"/>
          <w:sz w:val="26"/>
          <w:szCs w:val="26"/>
        </w:rPr>
        <w:t>$158 to $618 per SCH</w:t>
      </w:r>
      <w:r w:rsidR="00737C73">
        <w:rPr>
          <w:rFonts w:ascii="Times New Roman" w:hAnsi="Times New Roman" w:cs="Times New Roman"/>
          <w:sz w:val="26"/>
          <w:szCs w:val="26"/>
        </w:rPr>
        <w:t xml:space="preserve"> in those disciplines in which Auburn University has instructional programs</w:t>
      </w:r>
      <w:r w:rsidR="00AF5382">
        <w:rPr>
          <w:rFonts w:ascii="Times New Roman" w:hAnsi="Times New Roman" w:cs="Times New Roman"/>
          <w:sz w:val="26"/>
          <w:szCs w:val="26"/>
        </w:rPr>
        <w:t>.  Since the price of tuition per SCH</w:t>
      </w:r>
      <w:r w:rsidR="002C3655">
        <w:rPr>
          <w:rFonts w:ascii="Times New Roman" w:hAnsi="Times New Roman" w:cs="Times New Roman"/>
          <w:sz w:val="26"/>
          <w:szCs w:val="26"/>
        </w:rPr>
        <w:t xml:space="preserve"> lies somewhere between these extremes, </w:t>
      </w:r>
      <w:r w:rsidR="00CB61C8">
        <w:rPr>
          <w:rFonts w:ascii="Times New Roman" w:hAnsi="Times New Roman" w:cs="Times New Roman"/>
          <w:sz w:val="26"/>
          <w:szCs w:val="26"/>
        </w:rPr>
        <w:t xml:space="preserve">the proposed model will allocate to </w:t>
      </w:r>
      <w:r w:rsidR="002C3655">
        <w:rPr>
          <w:rFonts w:ascii="Times New Roman" w:hAnsi="Times New Roman" w:cs="Times New Roman"/>
          <w:sz w:val="26"/>
          <w:szCs w:val="26"/>
        </w:rPr>
        <w:t xml:space="preserve">more tuition dollars </w:t>
      </w:r>
      <w:r w:rsidR="00CB61C8">
        <w:rPr>
          <w:rFonts w:ascii="Times New Roman" w:hAnsi="Times New Roman" w:cs="Times New Roman"/>
          <w:sz w:val="26"/>
          <w:szCs w:val="26"/>
        </w:rPr>
        <w:t xml:space="preserve">to some units </w:t>
      </w:r>
      <w:r w:rsidR="002C3655">
        <w:rPr>
          <w:rFonts w:ascii="Times New Roman" w:hAnsi="Times New Roman" w:cs="Times New Roman"/>
          <w:sz w:val="26"/>
          <w:szCs w:val="26"/>
        </w:rPr>
        <w:t xml:space="preserve">than they require and other departments </w:t>
      </w:r>
      <w:r w:rsidR="00CB61C8">
        <w:rPr>
          <w:rFonts w:ascii="Times New Roman" w:hAnsi="Times New Roman" w:cs="Times New Roman"/>
          <w:sz w:val="26"/>
          <w:szCs w:val="26"/>
        </w:rPr>
        <w:t>will</w:t>
      </w:r>
      <w:r w:rsidR="002C3655">
        <w:rPr>
          <w:rFonts w:ascii="Times New Roman" w:hAnsi="Times New Roman" w:cs="Times New Roman"/>
          <w:sz w:val="26"/>
          <w:szCs w:val="26"/>
        </w:rPr>
        <w:t xml:space="preserve"> receiv</w:t>
      </w:r>
      <w:r w:rsidR="00CB61C8">
        <w:rPr>
          <w:rFonts w:ascii="Times New Roman" w:hAnsi="Times New Roman" w:cs="Times New Roman"/>
          <w:sz w:val="26"/>
          <w:szCs w:val="26"/>
        </w:rPr>
        <w:t>e</w:t>
      </w:r>
      <w:r w:rsidR="002C3655">
        <w:rPr>
          <w:rFonts w:ascii="Times New Roman" w:hAnsi="Times New Roman" w:cs="Times New Roman"/>
          <w:sz w:val="26"/>
          <w:szCs w:val="26"/>
        </w:rPr>
        <w:t xml:space="preserve"> less than they need.  A system of weights was generated for Auburn University using the cost survey (Delaware) data at the department level and normalizing each value to the mean. </w:t>
      </w:r>
      <w:r w:rsidR="005D5C27">
        <w:rPr>
          <w:rFonts w:ascii="Times New Roman" w:hAnsi="Times New Roman" w:cs="Times New Roman"/>
          <w:sz w:val="26"/>
          <w:szCs w:val="26"/>
        </w:rPr>
        <w:t xml:space="preserve">Using AU information detailing SCH taught by department, weighted SCH </w:t>
      </w:r>
      <w:r w:rsidR="009A3351">
        <w:rPr>
          <w:rFonts w:ascii="Times New Roman" w:hAnsi="Times New Roman" w:cs="Times New Roman"/>
          <w:sz w:val="26"/>
          <w:szCs w:val="26"/>
        </w:rPr>
        <w:t xml:space="preserve">were </w:t>
      </w:r>
      <w:r w:rsidR="005D5C27">
        <w:rPr>
          <w:rFonts w:ascii="Times New Roman" w:hAnsi="Times New Roman" w:cs="Times New Roman"/>
          <w:sz w:val="26"/>
          <w:szCs w:val="26"/>
        </w:rPr>
        <w:t>det</w:t>
      </w:r>
      <w:r w:rsidR="009A3351">
        <w:rPr>
          <w:rFonts w:ascii="Times New Roman" w:hAnsi="Times New Roman" w:cs="Times New Roman"/>
          <w:sz w:val="26"/>
          <w:szCs w:val="26"/>
        </w:rPr>
        <w:t>ermined for each department and</w:t>
      </w:r>
      <w:r w:rsidR="005D5C27">
        <w:rPr>
          <w:rFonts w:ascii="Times New Roman" w:hAnsi="Times New Roman" w:cs="Times New Roman"/>
          <w:sz w:val="26"/>
          <w:szCs w:val="26"/>
        </w:rPr>
        <w:t xml:space="preserve"> then summed to the College/School level to determine each unit’s (College/School) share of Gross Tuition.  </w:t>
      </w:r>
      <w:r w:rsidR="002C3655">
        <w:rPr>
          <w:rFonts w:ascii="Times New Roman" w:hAnsi="Times New Roman" w:cs="Times New Roman"/>
          <w:sz w:val="26"/>
          <w:szCs w:val="26"/>
        </w:rPr>
        <w:t>Weights used for AU d</w:t>
      </w:r>
      <w:r w:rsidR="006C5CC5">
        <w:rPr>
          <w:rFonts w:ascii="Times New Roman" w:hAnsi="Times New Roman" w:cs="Times New Roman"/>
          <w:sz w:val="26"/>
          <w:szCs w:val="26"/>
        </w:rPr>
        <w:t>epartments can be found in the A</w:t>
      </w:r>
      <w:r w:rsidR="002C3655">
        <w:rPr>
          <w:rFonts w:ascii="Times New Roman" w:hAnsi="Times New Roman" w:cs="Times New Roman"/>
          <w:sz w:val="26"/>
          <w:szCs w:val="26"/>
        </w:rPr>
        <w:t>ppendix</w:t>
      </w:r>
      <w:r w:rsidR="00861036">
        <w:rPr>
          <w:rFonts w:ascii="Times New Roman" w:hAnsi="Times New Roman" w:cs="Times New Roman"/>
          <w:sz w:val="26"/>
          <w:szCs w:val="26"/>
        </w:rPr>
        <w:t xml:space="preserve"> (1)</w:t>
      </w:r>
      <w:r w:rsidR="002C3655">
        <w:rPr>
          <w:rFonts w:ascii="Times New Roman" w:hAnsi="Times New Roman" w:cs="Times New Roman"/>
          <w:sz w:val="26"/>
          <w:szCs w:val="26"/>
        </w:rPr>
        <w:t>.</w:t>
      </w:r>
    </w:p>
    <w:p w:rsidR="00C278B9" w:rsidRDefault="00C278B9" w:rsidP="009106FF">
      <w:pPr>
        <w:rPr>
          <w:rFonts w:ascii="Times New Roman" w:hAnsi="Times New Roman" w:cs="Times New Roman"/>
          <w:sz w:val="26"/>
          <w:szCs w:val="26"/>
        </w:rPr>
      </w:pPr>
      <w:r>
        <w:rPr>
          <w:rFonts w:ascii="Times New Roman" w:hAnsi="Times New Roman" w:cs="Times New Roman"/>
          <w:sz w:val="26"/>
          <w:szCs w:val="26"/>
        </w:rPr>
        <w:t xml:space="preserve">Two assumptions were made with this approach that were different from the proposal put forward by the administration.  First, no distinction was made between in-state and out-of-state students.  The supporting rationale for this modification was that it costs the same to teach a student from Alabama, Georgia, Florida, etc., and that it is an inefficient use of department/College funds to recruit for students in multiple states.  The University’s brand is primarily responsible for attracting out-of-state students.  The second change in </w:t>
      </w:r>
      <w:r>
        <w:rPr>
          <w:rFonts w:ascii="Times New Roman" w:hAnsi="Times New Roman" w:cs="Times New Roman"/>
          <w:sz w:val="26"/>
          <w:szCs w:val="26"/>
        </w:rPr>
        <w:lastRenderedPageBreak/>
        <w:t>assumptions</w:t>
      </w:r>
      <w:r w:rsidR="002616E5">
        <w:rPr>
          <w:rFonts w:ascii="Times New Roman" w:hAnsi="Times New Roman" w:cs="Times New Roman"/>
          <w:sz w:val="26"/>
          <w:szCs w:val="26"/>
        </w:rPr>
        <w:t xml:space="preserve"> is that all </w:t>
      </w:r>
      <w:r w:rsidR="00E63CD7">
        <w:rPr>
          <w:rFonts w:ascii="Times New Roman" w:hAnsi="Times New Roman" w:cs="Times New Roman"/>
          <w:sz w:val="26"/>
          <w:szCs w:val="26"/>
        </w:rPr>
        <w:t xml:space="preserve">gross </w:t>
      </w:r>
      <w:r w:rsidR="002616E5">
        <w:rPr>
          <w:rFonts w:ascii="Times New Roman" w:hAnsi="Times New Roman" w:cs="Times New Roman"/>
          <w:sz w:val="26"/>
          <w:szCs w:val="26"/>
        </w:rPr>
        <w:t xml:space="preserve">tuition goes to the </w:t>
      </w:r>
      <w:r w:rsidR="00E63CD7">
        <w:rPr>
          <w:rFonts w:ascii="Times New Roman" w:hAnsi="Times New Roman" w:cs="Times New Roman"/>
          <w:sz w:val="26"/>
          <w:szCs w:val="26"/>
        </w:rPr>
        <w:t xml:space="preserve">college or school </w:t>
      </w:r>
      <w:r w:rsidR="002616E5">
        <w:rPr>
          <w:rFonts w:ascii="Times New Roman" w:hAnsi="Times New Roman" w:cs="Times New Roman"/>
          <w:sz w:val="26"/>
          <w:szCs w:val="26"/>
        </w:rPr>
        <w:t>of instruction.  This assumption simply acknowledges the fact that there are no good (or similar national norms</w:t>
      </w:r>
      <w:r w:rsidR="00DD3DAC">
        <w:rPr>
          <w:rFonts w:ascii="Times New Roman" w:hAnsi="Times New Roman" w:cs="Times New Roman"/>
          <w:sz w:val="26"/>
          <w:szCs w:val="26"/>
        </w:rPr>
        <w:t xml:space="preserve">) </w:t>
      </w:r>
      <w:r w:rsidR="002616E5">
        <w:rPr>
          <w:rFonts w:ascii="Times New Roman" w:hAnsi="Times New Roman" w:cs="Times New Roman"/>
          <w:sz w:val="26"/>
          <w:szCs w:val="26"/>
        </w:rPr>
        <w:t>data on the separable costs of maintaining/advising students in a department/college.</w:t>
      </w:r>
      <w:r w:rsidR="00DD3DAC">
        <w:rPr>
          <w:rFonts w:ascii="Times New Roman" w:hAnsi="Times New Roman" w:cs="Times New Roman"/>
          <w:sz w:val="26"/>
          <w:szCs w:val="26"/>
        </w:rPr>
        <w:t xml:space="preserve">  Other distribution</w:t>
      </w:r>
      <w:r w:rsidR="007F4458">
        <w:rPr>
          <w:rFonts w:ascii="Times New Roman" w:hAnsi="Times New Roman" w:cs="Times New Roman"/>
          <w:sz w:val="26"/>
          <w:szCs w:val="26"/>
        </w:rPr>
        <w:t>s</w:t>
      </w:r>
      <w:r w:rsidR="00DD3DAC">
        <w:rPr>
          <w:rFonts w:ascii="Times New Roman" w:hAnsi="Times New Roman" w:cs="Times New Roman"/>
          <w:sz w:val="26"/>
          <w:szCs w:val="26"/>
        </w:rPr>
        <w:t xml:space="preserve"> of revenues and costs remained the same</w:t>
      </w:r>
      <w:r w:rsidR="00265D15">
        <w:rPr>
          <w:rFonts w:ascii="Times New Roman" w:hAnsi="Times New Roman" w:cs="Times New Roman"/>
          <w:sz w:val="26"/>
          <w:szCs w:val="26"/>
        </w:rPr>
        <w:t>.</w:t>
      </w:r>
    </w:p>
    <w:p w:rsidR="00B6593C" w:rsidRPr="00A424A4" w:rsidRDefault="00B6593C" w:rsidP="009106FF">
      <w:pPr>
        <w:rPr>
          <w:rFonts w:ascii="Times New Roman" w:hAnsi="Times New Roman" w:cs="Times New Roman"/>
          <w:sz w:val="26"/>
          <w:szCs w:val="26"/>
        </w:rPr>
      </w:pPr>
      <w:r>
        <w:rPr>
          <w:rFonts w:ascii="Times New Roman" w:hAnsi="Times New Roman" w:cs="Times New Roman"/>
          <w:sz w:val="26"/>
          <w:szCs w:val="26"/>
        </w:rPr>
        <w:t xml:space="preserve">Given these adjustments and data for FY2012, $366,858,679 in </w:t>
      </w:r>
      <w:r w:rsidR="00737C73">
        <w:rPr>
          <w:rFonts w:ascii="Times New Roman" w:hAnsi="Times New Roman" w:cs="Times New Roman"/>
          <w:sz w:val="26"/>
          <w:szCs w:val="26"/>
        </w:rPr>
        <w:t xml:space="preserve">gross </w:t>
      </w:r>
      <w:r>
        <w:rPr>
          <w:rFonts w:ascii="Times New Roman" w:hAnsi="Times New Roman" w:cs="Times New Roman"/>
          <w:sz w:val="26"/>
          <w:szCs w:val="26"/>
        </w:rPr>
        <w:t>tuition and fees was available to reallocate to Colleges and Schools.</w:t>
      </w:r>
      <w:r w:rsidR="004C330E">
        <w:rPr>
          <w:rFonts w:ascii="Times New Roman" w:hAnsi="Times New Roman" w:cs="Times New Roman"/>
          <w:sz w:val="26"/>
          <w:szCs w:val="26"/>
        </w:rPr>
        <w:t xml:space="preserve">  Distribution of the tuition and fees according to the two methods is indicated below:</w:t>
      </w:r>
      <w:r w:rsidR="003D5C85">
        <w:rPr>
          <w:rFonts w:ascii="Times New Roman" w:hAnsi="Times New Roman" w:cs="Times New Roman"/>
          <w:sz w:val="26"/>
          <w:szCs w:val="26"/>
        </w:rPr>
        <w:br/>
      </w:r>
    </w:p>
    <w:p w:rsidR="00B6593C" w:rsidRDefault="00B6593C" w:rsidP="009106FF">
      <w:pPr>
        <w:rPr>
          <w:rFonts w:ascii="Times New Roman" w:hAnsi="Times New Roman" w:cs="Times New Roman"/>
          <w:sz w:val="26"/>
          <w:szCs w:val="26"/>
        </w:rPr>
      </w:pPr>
      <w:r>
        <w:rPr>
          <w:rFonts w:ascii="Times New Roman" w:hAnsi="Times New Roman" w:cs="Times New Roman"/>
          <w:sz w:val="26"/>
          <w:szCs w:val="26"/>
        </w:rPr>
        <w:t>Original Allocation</w:t>
      </w:r>
    </w:p>
    <w:p w:rsidR="00B6593C" w:rsidRDefault="00B6593C" w:rsidP="009106FF">
      <w:pPr>
        <w:rPr>
          <w:rFonts w:ascii="Times New Roman" w:hAnsi="Times New Roman" w:cs="Times New Roman"/>
          <w:sz w:val="26"/>
          <w:szCs w:val="26"/>
        </w:rPr>
      </w:pPr>
      <w:r w:rsidRPr="00B6593C">
        <w:rPr>
          <w:noProof/>
        </w:rPr>
        <w:drawing>
          <wp:inline distT="0" distB="0" distL="0" distR="0" wp14:anchorId="09FC6483" wp14:editId="32A8A086">
            <wp:extent cx="5943600" cy="71473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14737"/>
                    </a:xfrm>
                    <a:prstGeom prst="rect">
                      <a:avLst/>
                    </a:prstGeom>
                    <a:noFill/>
                    <a:ln>
                      <a:noFill/>
                    </a:ln>
                  </pic:spPr>
                </pic:pic>
              </a:graphicData>
            </a:graphic>
          </wp:inline>
        </w:drawing>
      </w:r>
    </w:p>
    <w:p w:rsidR="00B6593C" w:rsidRDefault="00B6593C" w:rsidP="009106FF">
      <w:pPr>
        <w:rPr>
          <w:rFonts w:ascii="Times New Roman" w:hAnsi="Times New Roman" w:cs="Times New Roman"/>
          <w:sz w:val="26"/>
          <w:szCs w:val="26"/>
        </w:rPr>
      </w:pPr>
    </w:p>
    <w:p w:rsidR="00B6593C" w:rsidRDefault="00B6593C" w:rsidP="009106FF">
      <w:pPr>
        <w:rPr>
          <w:rFonts w:ascii="Times New Roman" w:hAnsi="Times New Roman" w:cs="Times New Roman"/>
          <w:sz w:val="26"/>
          <w:szCs w:val="26"/>
        </w:rPr>
      </w:pPr>
      <w:r>
        <w:rPr>
          <w:rFonts w:ascii="Times New Roman" w:hAnsi="Times New Roman" w:cs="Times New Roman"/>
          <w:sz w:val="26"/>
          <w:szCs w:val="26"/>
        </w:rPr>
        <w:t>Weighted Allocation</w:t>
      </w:r>
    </w:p>
    <w:p w:rsidR="00B6593C" w:rsidRDefault="00B6593C" w:rsidP="009106FF">
      <w:pPr>
        <w:rPr>
          <w:rFonts w:ascii="Times New Roman" w:hAnsi="Times New Roman" w:cs="Times New Roman"/>
          <w:sz w:val="26"/>
          <w:szCs w:val="26"/>
        </w:rPr>
      </w:pPr>
      <w:r w:rsidRPr="00B6593C">
        <w:rPr>
          <w:noProof/>
        </w:rPr>
        <w:drawing>
          <wp:inline distT="0" distB="0" distL="0" distR="0" wp14:anchorId="0A231198" wp14:editId="7E66B0AF">
            <wp:extent cx="5943600" cy="71603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16032"/>
                    </a:xfrm>
                    <a:prstGeom prst="rect">
                      <a:avLst/>
                    </a:prstGeom>
                    <a:noFill/>
                    <a:ln>
                      <a:noFill/>
                    </a:ln>
                  </pic:spPr>
                </pic:pic>
              </a:graphicData>
            </a:graphic>
          </wp:inline>
        </w:drawing>
      </w:r>
    </w:p>
    <w:p w:rsidR="004C330E" w:rsidRDefault="004C330E" w:rsidP="009106FF">
      <w:pPr>
        <w:rPr>
          <w:rFonts w:ascii="Times New Roman" w:hAnsi="Times New Roman" w:cs="Times New Roman"/>
          <w:sz w:val="26"/>
          <w:szCs w:val="26"/>
        </w:rPr>
      </w:pPr>
    </w:p>
    <w:p w:rsidR="004C330E" w:rsidRDefault="00574ABA" w:rsidP="009106FF">
      <w:pPr>
        <w:rPr>
          <w:rFonts w:ascii="Times New Roman" w:hAnsi="Times New Roman" w:cs="Times New Roman"/>
          <w:sz w:val="26"/>
          <w:szCs w:val="26"/>
        </w:rPr>
      </w:pPr>
      <w:r>
        <w:rPr>
          <w:rFonts w:ascii="Times New Roman" w:hAnsi="Times New Roman" w:cs="Times New Roman"/>
          <w:sz w:val="26"/>
          <w:szCs w:val="26"/>
        </w:rPr>
        <w:t>Using this redistribution of tuition resources</w:t>
      </w:r>
      <w:r w:rsidR="000701F2">
        <w:rPr>
          <w:rFonts w:ascii="Times New Roman" w:hAnsi="Times New Roman" w:cs="Times New Roman"/>
          <w:sz w:val="26"/>
          <w:szCs w:val="26"/>
        </w:rPr>
        <w:t xml:space="preserve"> (and leaving other cost and revenue amounts as they were calculated for the un-weighted case)</w:t>
      </w:r>
      <w:r>
        <w:rPr>
          <w:rFonts w:ascii="Times New Roman" w:hAnsi="Times New Roman" w:cs="Times New Roman"/>
          <w:sz w:val="26"/>
          <w:szCs w:val="26"/>
        </w:rPr>
        <w:t>, the sum of the negative margins presented in the budget models as ‘Margin Before Mission Enhan</w:t>
      </w:r>
      <w:r w:rsidR="000701F2">
        <w:rPr>
          <w:rFonts w:ascii="Times New Roman" w:hAnsi="Times New Roman" w:cs="Times New Roman"/>
          <w:sz w:val="26"/>
          <w:szCs w:val="26"/>
        </w:rPr>
        <w:t>cement Fund’ is reduced from</w:t>
      </w:r>
      <w:r>
        <w:rPr>
          <w:rFonts w:ascii="Times New Roman" w:hAnsi="Times New Roman" w:cs="Times New Roman"/>
          <w:sz w:val="26"/>
          <w:szCs w:val="26"/>
        </w:rPr>
        <w:t xml:space="preserve">  -$33,188,286 to -$13,461,841</w:t>
      </w:r>
      <w:r w:rsidR="00AB71D3">
        <w:rPr>
          <w:rFonts w:ascii="Times New Roman" w:hAnsi="Times New Roman" w:cs="Times New Roman"/>
          <w:sz w:val="26"/>
          <w:szCs w:val="26"/>
        </w:rPr>
        <w:t xml:space="preserve"> (nearly 60%), representing a reducti</w:t>
      </w:r>
      <w:r w:rsidR="00861036">
        <w:rPr>
          <w:rFonts w:ascii="Times New Roman" w:hAnsi="Times New Roman" w:cs="Times New Roman"/>
          <w:sz w:val="26"/>
          <w:szCs w:val="26"/>
        </w:rPr>
        <w:t>on in what would be required of</w:t>
      </w:r>
      <w:r w:rsidR="00AB71D3">
        <w:rPr>
          <w:rFonts w:ascii="Times New Roman" w:hAnsi="Times New Roman" w:cs="Times New Roman"/>
          <w:sz w:val="26"/>
          <w:szCs w:val="26"/>
        </w:rPr>
        <w:t xml:space="preserve"> a </w:t>
      </w:r>
      <w:r w:rsidR="006709A6">
        <w:rPr>
          <w:rFonts w:ascii="Times New Roman" w:hAnsi="Times New Roman" w:cs="Times New Roman"/>
          <w:sz w:val="26"/>
          <w:szCs w:val="26"/>
        </w:rPr>
        <w:t xml:space="preserve">MEF </w:t>
      </w:r>
      <w:r w:rsidR="00AB71D3">
        <w:rPr>
          <w:rFonts w:ascii="Times New Roman" w:hAnsi="Times New Roman" w:cs="Times New Roman"/>
          <w:sz w:val="26"/>
          <w:szCs w:val="26"/>
        </w:rPr>
        <w:t xml:space="preserve">participation rate </w:t>
      </w:r>
      <w:r w:rsidR="00861036">
        <w:rPr>
          <w:rFonts w:ascii="Times New Roman" w:hAnsi="Times New Roman" w:cs="Times New Roman"/>
          <w:sz w:val="26"/>
          <w:szCs w:val="26"/>
        </w:rPr>
        <w:t>that could</w:t>
      </w:r>
      <w:r w:rsidR="00AB71D3">
        <w:rPr>
          <w:rFonts w:ascii="Times New Roman" w:hAnsi="Times New Roman" w:cs="Times New Roman"/>
          <w:sz w:val="26"/>
          <w:szCs w:val="26"/>
        </w:rPr>
        <w:t xml:space="preserve"> meet the goals of being able to make each unit’s budget balanced while still establishing the fund for strategic investments.  Similarly, the FY2013 sum </w:t>
      </w:r>
      <w:r w:rsidR="005F0CF8">
        <w:rPr>
          <w:rFonts w:ascii="Times New Roman" w:hAnsi="Times New Roman" w:cs="Times New Roman"/>
          <w:sz w:val="26"/>
          <w:szCs w:val="26"/>
        </w:rPr>
        <w:t xml:space="preserve">of negative margins before MEF </w:t>
      </w:r>
      <w:r w:rsidR="00AB71D3">
        <w:rPr>
          <w:rFonts w:ascii="Times New Roman" w:hAnsi="Times New Roman" w:cs="Times New Roman"/>
          <w:sz w:val="26"/>
          <w:szCs w:val="26"/>
        </w:rPr>
        <w:t xml:space="preserve">was reduced from </w:t>
      </w:r>
      <w:r w:rsidR="000701F2">
        <w:rPr>
          <w:rFonts w:ascii="Times New Roman" w:hAnsi="Times New Roman" w:cs="Times New Roman"/>
          <w:sz w:val="26"/>
          <w:szCs w:val="26"/>
        </w:rPr>
        <w:t xml:space="preserve"> </w:t>
      </w:r>
      <w:r w:rsidR="00AB71D3">
        <w:rPr>
          <w:rFonts w:ascii="Times New Roman" w:hAnsi="Times New Roman" w:cs="Times New Roman"/>
          <w:sz w:val="26"/>
          <w:szCs w:val="26"/>
        </w:rPr>
        <w:t>-$24,861,070 to -$9,369,154.  Figures displaying these reductions in v</w:t>
      </w:r>
      <w:r w:rsidR="006C5CC5">
        <w:rPr>
          <w:rFonts w:ascii="Times New Roman" w:hAnsi="Times New Roman" w:cs="Times New Roman"/>
          <w:sz w:val="26"/>
          <w:szCs w:val="26"/>
        </w:rPr>
        <w:t>ariability are included in the A</w:t>
      </w:r>
      <w:r w:rsidR="00AB71D3">
        <w:rPr>
          <w:rFonts w:ascii="Times New Roman" w:hAnsi="Times New Roman" w:cs="Times New Roman"/>
          <w:sz w:val="26"/>
          <w:szCs w:val="26"/>
        </w:rPr>
        <w:t>ppendix</w:t>
      </w:r>
      <w:r w:rsidR="00861036">
        <w:rPr>
          <w:rFonts w:ascii="Times New Roman" w:hAnsi="Times New Roman" w:cs="Times New Roman"/>
          <w:sz w:val="26"/>
          <w:szCs w:val="26"/>
        </w:rPr>
        <w:t xml:space="preserve"> (2)</w:t>
      </w:r>
      <w:r w:rsidR="00AB71D3">
        <w:rPr>
          <w:rFonts w:ascii="Times New Roman" w:hAnsi="Times New Roman" w:cs="Times New Roman"/>
          <w:sz w:val="26"/>
          <w:szCs w:val="26"/>
        </w:rPr>
        <w:t>.</w:t>
      </w:r>
    </w:p>
    <w:p w:rsidR="006C5CC5" w:rsidRDefault="006C5CC5" w:rsidP="009106FF">
      <w:pPr>
        <w:rPr>
          <w:rFonts w:ascii="Times New Roman" w:hAnsi="Times New Roman" w:cs="Times New Roman"/>
          <w:sz w:val="26"/>
          <w:szCs w:val="26"/>
        </w:rPr>
      </w:pPr>
    </w:p>
    <w:p w:rsidR="00900077" w:rsidRDefault="00AB71D3" w:rsidP="009106FF">
      <w:pPr>
        <w:rPr>
          <w:rFonts w:ascii="Times New Roman" w:hAnsi="Times New Roman" w:cs="Times New Roman"/>
          <w:sz w:val="26"/>
          <w:szCs w:val="26"/>
        </w:rPr>
      </w:pPr>
      <w:r w:rsidRPr="00861036">
        <w:rPr>
          <w:rFonts w:ascii="Times New Roman" w:hAnsi="Times New Roman" w:cs="Times New Roman"/>
          <w:i/>
          <w:sz w:val="26"/>
          <w:szCs w:val="26"/>
        </w:rPr>
        <w:t xml:space="preserve">The second </w:t>
      </w:r>
      <w:r w:rsidR="00861036" w:rsidRPr="00861036">
        <w:rPr>
          <w:rFonts w:ascii="Times New Roman" w:hAnsi="Times New Roman" w:cs="Times New Roman"/>
          <w:i/>
          <w:sz w:val="26"/>
          <w:szCs w:val="26"/>
        </w:rPr>
        <w:t>approach</w:t>
      </w:r>
      <w:r>
        <w:rPr>
          <w:rFonts w:ascii="Times New Roman" w:hAnsi="Times New Roman" w:cs="Times New Roman"/>
          <w:sz w:val="26"/>
          <w:szCs w:val="26"/>
        </w:rPr>
        <w:t xml:space="preserve"> evaluated for reallocating base funds in the budget used an even more objective (than national norms on cost per student credit hour)</w:t>
      </w:r>
      <w:r w:rsidR="00861036">
        <w:rPr>
          <w:rFonts w:ascii="Times New Roman" w:hAnsi="Times New Roman" w:cs="Times New Roman"/>
          <w:sz w:val="26"/>
          <w:szCs w:val="26"/>
        </w:rPr>
        <w:t xml:space="preserve"> method</w:t>
      </w:r>
      <w:r w:rsidR="0037416C">
        <w:rPr>
          <w:rFonts w:ascii="Times New Roman" w:hAnsi="Times New Roman" w:cs="Times New Roman"/>
          <w:sz w:val="26"/>
          <w:szCs w:val="26"/>
        </w:rPr>
        <w:t>.  Partial Least Squares (PLS) regression was used to estimate the true weights necessary to balance the budget when Tuition+Fees is the resource available to reallocate.  The approach considers that</w:t>
      </w:r>
      <w:r w:rsidR="00900077">
        <w:rPr>
          <w:rFonts w:ascii="Times New Roman" w:hAnsi="Times New Roman" w:cs="Times New Roman"/>
          <w:sz w:val="26"/>
          <w:szCs w:val="26"/>
        </w:rPr>
        <w:t>:</w:t>
      </w:r>
    </w:p>
    <w:p w:rsidR="00AB71D3" w:rsidRDefault="0037416C" w:rsidP="009106FF">
      <w:pPr>
        <w:rPr>
          <w:rFonts w:ascii="Times New Roman" w:hAnsi="Times New Roman" w:cs="Times New Roman"/>
          <w:sz w:val="26"/>
          <w:szCs w:val="26"/>
        </w:rPr>
      </w:pPr>
      <w:r>
        <w:rPr>
          <w:rFonts w:ascii="Times New Roman" w:hAnsi="Times New Roman" w:cs="Times New Roman"/>
          <w:sz w:val="26"/>
          <w:szCs w:val="26"/>
        </w:rPr>
        <w:t xml:space="preserve"> </w:t>
      </w:r>
      <w:r w:rsidRPr="0037416C">
        <w:rPr>
          <w:rFonts w:ascii="Times New Roman" w:hAnsi="Times New Roman" w:cs="Times New Roman"/>
          <w:sz w:val="26"/>
          <w:szCs w:val="26"/>
        </w:rPr>
        <w:t xml:space="preserve">(Tuition&amp;Fees + </w:t>
      </w:r>
      <w:r w:rsidR="00C17200">
        <w:rPr>
          <w:rFonts w:ascii="Times New Roman" w:hAnsi="Times New Roman" w:cs="Times New Roman"/>
          <w:sz w:val="26"/>
          <w:szCs w:val="26"/>
        </w:rPr>
        <w:t>(</w:t>
      </w:r>
      <w:r w:rsidRPr="0037416C">
        <w:rPr>
          <w:rFonts w:ascii="Times New Roman" w:hAnsi="Times New Roman" w:cs="Times New Roman"/>
          <w:sz w:val="26"/>
          <w:szCs w:val="26"/>
        </w:rPr>
        <w:t>M</w:t>
      </w:r>
      <w:r w:rsidR="00C17200">
        <w:rPr>
          <w:rFonts w:ascii="Times New Roman" w:hAnsi="Times New Roman" w:cs="Times New Roman"/>
          <w:sz w:val="26"/>
          <w:szCs w:val="26"/>
        </w:rPr>
        <w:t>argin Before M</w:t>
      </w:r>
      <w:r w:rsidRPr="0037416C">
        <w:rPr>
          <w:rFonts w:ascii="Times New Roman" w:hAnsi="Times New Roman" w:cs="Times New Roman"/>
          <w:sz w:val="26"/>
          <w:szCs w:val="26"/>
        </w:rPr>
        <w:t>EF</w:t>
      </w:r>
      <w:r w:rsidR="00C17200">
        <w:rPr>
          <w:rFonts w:ascii="Times New Roman" w:hAnsi="Times New Roman" w:cs="Times New Roman"/>
          <w:sz w:val="26"/>
          <w:szCs w:val="26"/>
        </w:rPr>
        <w:t>))</w:t>
      </w:r>
      <w:r>
        <w:rPr>
          <w:rFonts w:ascii="Times New Roman" w:hAnsi="Times New Roman" w:cs="Times New Roman"/>
          <w:sz w:val="26"/>
          <w:szCs w:val="26"/>
        </w:rPr>
        <w:t xml:space="preserve"> allocated to Colleges and Schools) / Tuition&amp;Fees </w:t>
      </w:r>
      <w:r w:rsidRPr="0037416C">
        <w:rPr>
          <w:rFonts w:ascii="Times New Roman" w:hAnsi="Times New Roman" w:cs="Times New Roman"/>
          <w:sz w:val="26"/>
          <w:szCs w:val="26"/>
        </w:rPr>
        <w:t xml:space="preserve">= </w:t>
      </w:r>
      <w:r w:rsidR="00900077">
        <w:rPr>
          <w:rFonts w:ascii="Times New Roman" w:hAnsi="Times New Roman" w:cs="Times New Roman"/>
          <w:sz w:val="26"/>
          <w:szCs w:val="26"/>
        </w:rPr>
        <w:t xml:space="preserve">the </w:t>
      </w:r>
      <w:r w:rsidRPr="0037416C">
        <w:rPr>
          <w:rFonts w:ascii="Times New Roman" w:hAnsi="Times New Roman" w:cs="Times New Roman"/>
          <w:sz w:val="26"/>
          <w:szCs w:val="26"/>
        </w:rPr>
        <w:t>factor by which to multiply Tuition&amp;Fees</w:t>
      </w:r>
      <w:r>
        <w:rPr>
          <w:rFonts w:ascii="Times New Roman" w:hAnsi="Times New Roman" w:cs="Times New Roman"/>
          <w:sz w:val="26"/>
          <w:szCs w:val="26"/>
        </w:rPr>
        <w:t xml:space="preserve"> to </w:t>
      </w:r>
      <w:r w:rsidR="0091508B">
        <w:rPr>
          <w:rFonts w:ascii="Times New Roman" w:hAnsi="Times New Roman" w:cs="Times New Roman"/>
          <w:sz w:val="26"/>
          <w:szCs w:val="26"/>
        </w:rPr>
        <w:t>reduce</w:t>
      </w:r>
      <w:r>
        <w:rPr>
          <w:rFonts w:ascii="Times New Roman" w:hAnsi="Times New Roman" w:cs="Times New Roman"/>
          <w:sz w:val="26"/>
          <w:szCs w:val="26"/>
        </w:rPr>
        <w:t xml:space="preserve"> the need for an MEF to balance budgets (an MEF could still be generated for strategic investments).  </w:t>
      </w:r>
      <w:r>
        <w:rPr>
          <w:rFonts w:ascii="Times New Roman" w:hAnsi="Times New Roman" w:cs="Times New Roman"/>
          <w:sz w:val="26"/>
          <w:szCs w:val="26"/>
        </w:rPr>
        <w:lastRenderedPageBreak/>
        <w:t xml:space="preserve">Given the same FY2012 data referenced above, </w:t>
      </w:r>
      <w:r w:rsidR="004E1309" w:rsidRPr="004E1309">
        <w:rPr>
          <w:rFonts w:ascii="Times New Roman" w:hAnsi="Times New Roman" w:cs="Times New Roman"/>
          <w:sz w:val="26"/>
          <w:szCs w:val="26"/>
          <w:u w:val="single"/>
        </w:rPr>
        <w:t>True Weighted Tuition</w:t>
      </w:r>
      <w:r w:rsidR="004E1309" w:rsidRPr="004E1309">
        <w:rPr>
          <w:rFonts w:ascii="Times New Roman" w:hAnsi="Times New Roman" w:cs="Times New Roman"/>
          <w:sz w:val="26"/>
          <w:szCs w:val="26"/>
        </w:rPr>
        <w:t xml:space="preserve"> could be estimated</w:t>
      </w:r>
      <w:r w:rsidR="00900077">
        <w:rPr>
          <w:rFonts w:ascii="Times New Roman" w:hAnsi="Times New Roman" w:cs="Times New Roman"/>
          <w:sz w:val="26"/>
          <w:szCs w:val="26"/>
        </w:rPr>
        <w:t xml:space="preserve"> and ‘True</w:t>
      </w:r>
      <w:r w:rsidR="004E1309" w:rsidRPr="004E1309">
        <w:rPr>
          <w:rFonts w:ascii="Times New Roman" w:hAnsi="Times New Roman" w:cs="Times New Roman"/>
          <w:sz w:val="26"/>
          <w:szCs w:val="26"/>
        </w:rPr>
        <w:t xml:space="preserve"> </w:t>
      </w:r>
      <w:r w:rsidR="00900077">
        <w:rPr>
          <w:rFonts w:ascii="Times New Roman" w:hAnsi="Times New Roman" w:cs="Times New Roman"/>
          <w:sz w:val="26"/>
          <w:szCs w:val="26"/>
        </w:rPr>
        <w:t>W</w:t>
      </w:r>
      <w:r w:rsidR="004E1309">
        <w:rPr>
          <w:rFonts w:ascii="Times New Roman" w:hAnsi="Times New Roman" w:cs="Times New Roman"/>
          <w:sz w:val="26"/>
          <w:szCs w:val="26"/>
        </w:rPr>
        <w:t>eights</w:t>
      </w:r>
      <w:r w:rsidR="00900077">
        <w:rPr>
          <w:rFonts w:ascii="Times New Roman" w:hAnsi="Times New Roman" w:cs="Times New Roman"/>
          <w:sz w:val="26"/>
          <w:szCs w:val="26"/>
        </w:rPr>
        <w:t>’</w:t>
      </w:r>
      <w:r w:rsidR="004E1309">
        <w:rPr>
          <w:rFonts w:ascii="Times New Roman" w:hAnsi="Times New Roman" w:cs="Times New Roman"/>
          <w:sz w:val="26"/>
          <w:szCs w:val="26"/>
        </w:rPr>
        <w:t xml:space="preserve"> determined:</w:t>
      </w:r>
    </w:p>
    <w:p w:rsidR="004E1309" w:rsidRDefault="00C9291D" w:rsidP="009106FF">
      <w:pPr>
        <w:rPr>
          <w:rFonts w:ascii="Times New Roman" w:hAnsi="Times New Roman" w:cs="Times New Roman"/>
          <w:sz w:val="26"/>
          <w:szCs w:val="26"/>
        </w:rPr>
      </w:pPr>
      <w:r w:rsidRPr="00C9291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49519D1" wp14:editId="270C4483">
                <wp:simplePos x="0" y="0"/>
                <wp:positionH relativeFrom="column">
                  <wp:posOffset>2014484</wp:posOffset>
                </wp:positionH>
                <wp:positionV relativeFrom="paragraph">
                  <wp:posOffset>-16510</wp:posOffset>
                </wp:positionV>
                <wp:extent cx="1030857" cy="51974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857" cy="519742"/>
                        </a:xfrm>
                        <a:prstGeom prst="rect">
                          <a:avLst/>
                        </a:prstGeom>
                        <a:solidFill>
                          <a:srgbClr val="FFFFFF"/>
                        </a:solidFill>
                        <a:ln w="9525">
                          <a:noFill/>
                          <a:miter lim="800000"/>
                          <a:headEnd/>
                          <a:tailEnd/>
                        </a:ln>
                      </wps:spPr>
                      <wps:txbx>
                        <w:txbxContent>
                          <w:p w:rsidR="00C9291D" w:rsidRPr="00C9291D" w:rsidRDefault="00C9291D" w:rsidP="00C17200">
                            <w:pPr>
                              <w:jc w:val="center"/>
                              <w:rPr>
                                <w:b/>
                                <w:sz w:val="24"/>
                                <w:szCs w:val="24"/>
                              </w:rPr>
                            </w:pPr>
                            <w:r>
                              <w:rPr>
                                <w:b/>
                                <w:sz w:val="24"/>
                                <w:szCs w:val="24"/>
                              </w:rPr>
                              <w:t>Margin Before</w:t>
                            </w:r>
                            <w:r w:rsidRPr="00C9291D">
                              <w:rPr>
                                <w:b/>
                                <w:sz w:val="24"/>
                                <w:szCs w:val="24"/>
                              </w:rPr>
                              <w:br/>
                              <w:t xml:space="preserve">   </w:t>
                            </w:r>
                            <w:r w:rsidR="00C17200">
                              <w:rPr>
                                <w:b/>
                                <w:sz w:val="24"/>
                                <w:szCs w:val="24"/>
                              </w:rPr>
                              <w:t>MEF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6pt;margin-top:-1.3pt;width:81.1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" stroked="f">
                <v:textbox inset="0,0,0,0">
                  <w:txbxContent>
                    <w:p w:rsidR="00C9291D" w:rsidRPr="00C9291D" w:rsidRDefault="00C9291D" w:rsidP="00C17200">
                      <w:pPr>
                        <w:jc w:val="center"/>
                        <w:rPr>
                          <w:b/>
                          <w:sz w:val="24"/>
                          <w:szCs w:val="24"/>
                        </w:rPr>
                      </w:pPr>
                      <w:r>
                        <w:rPr>
                          <w:b/>
                          <w:sz w:val="24"/>
                          <w:szCs w:val="24"/>
                        </w:rPr>
                        <w:t>Margin Before</w:t>
                      </w:r>
                      <w:r w:rsidRPr="00C9291D">
                        <w:rPr>
                          <w:b/>
                          <w:sz w:val="24"/>
                          <w:szCs w:val="24"/>
                        </w:rPr>
                        <w:br/>
                        <w:t xml:space="preserve">   </w:t>
                      </w:r>
                      <w:r w:rsidR="00C17200">
                        <w:rPr>
                          <w:b/>
                          <w:sz w:val="24"/>
                          <w:szCs w:val="24"/>
                        </w:rPr>
                        <w:t>MEF</w:t>
                      </w:r>
                    </w:p>
                  </w:txbxContent>
                </v:textbox>
              </v:shape>
            </w:pict>
          </mc:Fallback>
        </mc:AlternateContent>
      </w:r>
      <w:r w:rsidR="004E1309">
        <w:rPr>
          <w:rFonts w:ascii="Times New Roman" w:hAnsi="Times New Roman" w:cs="Times New Roman"/>
          <w:noProof/>
          <w:sz w:val="26"/>
          <w:szCs w:val="26"/>
        </w:rPr>
        <w:drawing>
          <wp:inline distT="0" distB="0" distL="0" distR="0" wp14:anchorId="1CAD2A69" wp14:editId="3A40C94C">
            <wp:extent cx="5513832" cy="393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0"/>
                      <a:ext cx="5513832" cy="3931920"/>
                    </a:xfrm>
                    <a:prstGeom prst="rect">
                      <a:avLst/>
                    </a:prstGeom>
                    <a:noFill/>
                  </pic:spPr>
                </pic:pic>
              </a:graphicData>
            </a:graphic>
          </wp:inline>
        </w:drawing>
      </w:r>
      <w:r w:rsidR="00786153">
        <w:rPr>
          <w:rFonts w:ascii="Times New Roman" w:hAnsi="Times New Roman" w:cs="Times New Roman"/>
          <w:sz w:val="26"/>
          <w:szCs w:val="26"/>
        </w:rPr>
        <w:br/>
      </w:r>
      <w:r w:rsidR="00786153" w:rsidRPr="00786153">
        <w:rPr>
          <w:rFonts w:ascii="Times New Roman" w:hAnsi="Times New Roman" w:cs="Times New Roman"/>
        </w:rPr>
        <w:t>Note: Margin Before MEF is a measure reported by the model that indicates how close (positive or negative) a unit is to meeting its budget (revenues minus costs) before the MEF participation rate is applied as an additional cost.</w:t>
      </w:r>
    </w:p>
    <w:p w:rsidR="00A27760" w:rsidRDefault="00A27760" w:rsidP="009106FF">
      <w:pPr>
        <w:rPr>
          <w:rFonts w:ascii="Times New Roman" w:hAnsi="Times New Roman" w:cs="Times New Roman"/>
          <w:sz w:val="26"/>
          <w:szCs w:val="26"/>
        </w:rPr>
      </w:pPr>
    </w:p>
    <w:p w:rsidR="004E1309" w:rsidRDefault="004E1309" w:rsidP="009106FF">
      <w:pPr>
        <w:rPr>
          <w:rFonts w:ascii="Times New Roman" w:hAnsi="Times New Roman" w:cs="Times New Roman"/>
          <w:sz w:val="26"/>
          <w:szCs w:val="26"/>
        </w:rPr>
      </w:pPr>
      <w:r>
        <w:rPr>
          <w:rFonts w:ascii="Times New Roman" w:hAnsi="Times New Roman" w:cs="Times New Roman"/>
          <w:sz w:val="26"/>
          <w:szCs w:val="26"/>
        </w:rPr>
        <w:t xml:space="preserve">Using the PLS technique, 22 variables </w:t>
      </w:r>
      <w:r w:rsidR="00CB56BC">
        <w:rPr>
          <w:rFonts w:ascii="Times New Roman" w:hAnsi="Times New Roman" w:cs="Times New Roman"/>
          <w:sz w:val="26"/>
          <w:szCs w:val="26"/>
        </w:rPr>
        <w:t xml:space="preserve">that characterize </w:t>
      </w:r>
      <w:r w:rsidR="00CE6BA3">
        <w:rPr>
          <w:rFonts w:ascii="Times New Roman" w:hAnsi="Times New Roman" w:cs="Times New Roman"/>
          <w:sz w:val="26"/>
          <w:szCs w:val="26"/>
        </w:rPr>
        <w:t xml:space="preserve">higher </w:t>
      </w:r>
      <w:r w:rsidR="00CB56BC">
        <w:rPr>
          <w:rFonts w:ascii="Times New Roman" w:hAnsi="Times New Roman" w:cs="Times New Roman"/>
          <w:sz w:val="26"/>
          <w:szCs w:val="26"/>
        </w:rPr>
        <w:t xml:space="preserve">education </w:t>
      </w:r>
      <w:r w:rsidR="00CE6BA3">
        <w:rPr>
          <w:rFonts w:ascii="Times New Roman" w:hAnsi="Times New Roman" w:cs="Times New Roman"/>
          <w:sz w:val="26"/>
          <w:szCs w:val="26"/>
        </w:rPr>
        <w:t>(number of students, number of faculty, sq. ft. of classroom, etc.)</w:t>
      </w:r>
      <w:r w:rsidR="00CB56BC">
        <w:rPr>
          <w:rFonts w:ascii="Times New Roman" w:hAnsi="Times New Roman" w:cs="Times New Roman"/>
          <w:sz w:val="26"/>
          <w:szCs w:val="26"/>
        </w:rPr>
        <w:t xml:space="preserve"> </w:t>
      </w:r>
      <w:r>
        <w:rPr>
          <w:rFonts w:ascii="Times New Roman" w:hAnsi="Times New Roman" w:cs="Times New Roman"/>
          <w:sz w:val="26"/>
          <w:szCs w:val="26"/>
        </w:rPr>
        <w:t xml:space="preserve">were examined to determine whether they would be helpful in determining the weights.  </w:t>
      </w:r>
      <w:r w:rsidR="00CB56BC">
        <w:rPr>
          <w:rFonts w:ascii="Times New Roman" w:hAnsi="Times New Roman" w:cs="Times New Roman"/>
          <w:sz w:val="26"/>
          <w:szCs w:val="26"/>
        </w:rPr>
        <w:t xml:space="preserve">The algorithm ranks the predictive power of the individual variables and discards less </w:t>
      </w:r>
      <w:r w:rsidR="004D1274">
        <w:rPr>
          <w:rFonts w:ascii="Times New Roman" w:hAnsi="Times New Roman" w:cs="Times New Roman"/>
          <w:sz w:val="26"/>
          <w:szCs w:val="26"/>
        </w:rPr>
        <w:t>useful</w:t>
      </w:r>
      <w:r w:rsidR="00CB56BC">
        <w:rPr>
          <w:rFonts w:ascii="Times New Roman" w:hAnsi="Times New Roman" w:cs="Times New Roman"/>
          <w:sz w:val="26"/>
          <w:szCs w:val="26"/>
        </w:rPr>
        <w:t xml:space="preserve"> ones until a minimum set of variables still optimally predicts the outcome (tuition weights developed above).  From those 22, the variables selected include</w:t>
      </w:r>
      <w:r>
        <w:rPr>
          <w:rFonts w:ascii="Times New Roman" w:hAnsi="Times New Roman" w:cs="Times New Roman"/>
          <w:sz w:val="26"/>
          <w:szCs w:val="26"/>
        </w:rPr>
        <w:t xml:space="preserve"> the following:</w:t>
      </w:r>
    </w:p>
    <w:p w:rsidR="004E1309" w:rsidRDefault="004E1309" w:rsidP="009106FF">
      <w:pP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62774991" wp14:editId="154E1B2B">
            <wp:extent cx="5504688" cy="3575304"/>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5504688" cy="3575304"/>
                    </a:xfrm>
                    <a:prstGeom prst="rect">
                      <a:avLst/>
                    </a:prstGeom>
                    <a:noFill/>
                  </pic:spPr>
                </pic:pic>
              </a:graphicData>
            </a:graphic>
          </wp:inline>
        </w:drawing>
      </w:r>
    </w:p>
    <w:p w:rsidR="003E1935" w:rsidRDefault="003E1935" w:rsidP="003E1935">
      <w:pPr>
        <w:rPr>
          <w:rFonts w:ascii="Times New Roman" w:hAnsi="Times New Roman" w:cs="Times New Roman"/>
          <w:sz w:val="26"/>
          <w:szCs w:val="26"/>
        </w:rPr>
      </w:pPr>
      <w:r>
        <w:rPr>
          <w:rFonts w:ascii="Times New Roman" w:hAnsi="Times New Roman" w:cs="Times New Roman"/>
          <w:sz w:val="26"/>
          <w:szCs w:val="26"/>
        </w:rPr>
        <w:t xml:space="preserve">The </w:t>
      </w:r>
      <w:r w:rsidRPr="003E1935">
        <w:rPr>
          <w:rFonts w:ascii="Times New Roman" w:hAnsi="Times New Roman" w:cs="Times New Roman"/>
          <w:sz w:val="26"/>
          <w:szCs w:val="26"/>
        </w:rPr>
        <w:t>PLS Model</w:t>
      </w:r>
      <w:r>
        <w:rPr>
          <w:rFonts w:ascii="Times New Roman" w:hAnsi="Times New Roman" w:cs="Times New Roman"/>
          <w:sz w:val="26"/>
          <w:szCs w:val="26"/>
        </w:rPr>
        <w:t xml:space="preserve"> </w:t>
      </w:r>
      <w:r w:rsidRPr="003E1935">
        <w:rPr>
          <w:rFonts w:ascii="Times New Roman" w:hAnsi="Times New Roman" w:cs="Times New Roman"/>
          <w:sz w:val="26"/>
          <w:szCs w:val="26"/>
        </w:rPr>
        <w:t>combin</w:t>
      </w:r>
      <w:r>
        <w:rPr>
          <w:rFonts w:ascii="Times New Roman" w:hAnsi="Times New Roman" w:cs="Times New Roman"/>
          <w:sz w:val="26"/>
          <w:szCs w:val="26"/>
        </w:rPr>
        <w:t>es these</w:t>
      </w:r>
      <w:r w:rsidRPr="003E1935">
        <w:rPr>
          <w:rFonts w:ascii="Times New Roman" w:hAnsi="Times New Roman" w:cs="Times New Roman"/>
          <w:sz w:val="26"/>
          <w:szCs w:val="26"/>
        </w:rPr>
        <w:t xml:space="preserve"> variables with different weights into new variables (termed components) and predicts tuiti</w:t>
      </w:r>
      <w:r>
        <w:rPr>
          <w:rFonts w:ascii="Times New Roman" w:hAnsi="Times New Roman" w:cs="Times New Roman"/>
          <w:sz w:val="26"/>
          <w:szCs w:val="26"/>
        </w:rPr>
        <w:t>o</w:t>
      </w:r>
      <w:r w:rsidR="00DC3955">
        <w:rPr>
          <w:rFonts w:ascii="Times New Roman" w:hAnsi="Times New Roman" w:cs="Times New Roman"/>
          <w:sz w:val="26"/>
          <w:szCs w:val="26"/>
        </w:rPr>
        <w:t>n weight with these components.</w:t>
      </w:r>
    </w:p>
    <w:p w:rsidR="006C5CC5" w:rsidRDefault="003E1935" w:rsidP="003E1935">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288" behindDoc="1" locked="0" layoutInCell="1" allowOverlap="1" wp14:anchorId="7074EBC7" wp14:editId="5086231C">
            <wp:simplePos x="0" y="0"/>
            <wp:positionH relativeFrom="page">
              <wp:align>center</wp:align>
            </wp:positionH>
            <wp:positionV relativeFrom="page">
              <wp:posOffset>4594366</wp:posOffset>
            </wp:positionV>
            <wp:extent cx="4846320" cy="4718304"/>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4846320" cy="4718304"/>
                    </a:xfrm>
                    <a:prstGeom prst="rect">
                      <a:avLst/>
                    </a:prstGeom>
                    <a:noFill/>
                  </pic:spPr>
                </pic:pic>
              </a:graphicData>
            </a:graphic>
            <wp14:sizeRelH relativeFrom="margin">
              <wp14:pctWidth>0</wp14:pctWidth>
            </wp14:sizeRelH>
            <wp14:sizeRelV relativeFrom="margin">
              <wp14:pctHeight>0</wp14:pctHeight>
            </wp14:sizeRelV>
          </wp:anchor>
        </w:drawing>
      </w:r>
    </w:p>
    <w:p w:rsidR="006C5CC5" w:rsidRDefault="006C5CC5" w:rsidP="003E1935">
      <w:pPr>
        <w:rPr>
          <w:rFonts w:ascii="Times New Roman" w:hAnsi="Times New Roman" w:cs="Times New Roman"/>
          <w:sz w:val="26"/>
          <w:szCs w:val="26"/>
        </w:rPr>
        <w:sectPr w:rsidR="006C5CC5" w:rsidSect="00DE406C">
          <w:footerReference w:type="default" r:id="rId15"/>
          <w:pgSz w:w="12240" w:h="15840"/>
          <w:pgMar w:top="576" w:right="1440" w:bottom="432" w:left="1440" w:header="720" w:footer="720" w:gutter="0"/>
          <w:cols w:space="720"/>
          <w:docGrid w:linePitch="360"/>
        </w:sectPr>
      </w:pPr>
    </w:p>
    <w:p w:rsidR="003E1935" w:rsidRDefault="005F0CF8" w:rsidP="009106FF">
      <w:pPr>
        <w:rPr>
          <w:rFonts w:ascii="Times New Roman" w:hAnsi="Times New Roman" w:cs="Times New Roman"/>
          <w:sz w:val="26"/>
          <w:szCs w:val="26"/>
        </w:rPr>
      </w:pPr>
      <w:r>
        <w:rPr>
          <w:rFonts w:ascii="Times New Roman" w:hAnsi="Times New Roman" w:cs="Times New Roman"/>
          <w:sz w:val="26"/>
          <w:szCs w:val="26"/>
        </w:rPr>
        <w:lastRenderedPageBreak/>
        <w:t>These weights were then used to reallocate Tuit</w:t>
      </w:r>
      <w:r w:rsidR="00B42979">
        <w:rPr>
          <w:rFonts w:ascii="Times New Roman" w:hAnsi="Times New Roman" w:cs="Times New Roman"/>
          <w:sz w:val="26"/>
          <w:szCs w:val="26"/>
        </w:rPr>
        <w:t>ion &amp; Fees for FY2012.  The following graph</w:t>
      </w:r>
      <w:r>
        <w:rPr>
          <w:rFonts w:ascii="Times New Roman" w:hAnsi="Times New Roman" w:cs="Times New Roman"/>
          <w:sz w:val="26"/>
          <w:szCs w:val="26"/>
        </w:rPr>
        <w:t xml:space="preserve"> indicate</w:t>
      </w:r>
      <w:r w:rsidR="00B42979">
        <w:rPr>
          <w:rFonts w:ascii="Times New Roman" w:hAnsi="Times New Roman" w:cs="Times New Roman"/>
          <w:sz w:val="26"/>
          <w:szCs w:val="26"/>
        </w:rPr>
        <w:t>s</w:t>
      </w:r>
      <w:r>
        <w:rPr>
          <w:rFonts w:ascii="Times New Roman" w:hAnsi="Times New Roman" w:cs="Times New Roman"/>
          <w:sz w:val="26"/>
          <w:szCs w:val="26"/>
        </w:rPr>
        <w:t xml:space="preserve"> the reductions in variation (range) associated with the margins before MEF re</w:t>
      </w:r>
      <w:r w:rsidR="00B42979">
        <w:rPr>
          <w:rFonts w:ascii="Times New Roman" w:hAnsi="Times New Roman" w:cs="Times New Roman"/>
          <w:sz w:val="26"/>
          <w:szCs w:val="26"/>
        </w:rPr>
        <w:t>lative to the unweighted</w:t>
      </w:r>
      <w:r w:rsidR="006709A6">
        <w:rPr>
          <w:rFonts w:ascii="Times New Roman" w:hAnsi="Times New Roman" w:cs="Times New Roman"/>
          <w:sz w:val="26"/>
          <w:szCs w:val="26"/>
        </w:rPr>
        <w:t xml:space="preserve"> (administration proposed)</w:t>
      </w:r>
      <w:r w:rsidR="00B42979">
        <w:rPr>
          <w:rFonts w:ascii="Times New Roman" w:hAnsi="Times New Roman" w:cs="Times New Roman"/>
          <w:sz w:val="26"/>
          <w:szCs w:val="26"/>
        </w:rPr>
        <w:t xml:space="preserve"> case</w:t>
      </w:r>
      <w:r>
        <w:rPr>
          <w:rFonts w:ascii="Times New Roman" w:hAnsi="Times New Roman" w:cs="Times New Roman"/>
          <w:sz w:val="26"/>
          <w:szCs w:val="26"/>
        </w:rPr>
        <w:t>.</w:t>
      </w:r>
    </w:p>
    <w:p w:rsidR="006709A6" w:rsidRDefault="006709A6" w:rsidP="009106FF">
      <w:pPr>
        <w:rPr>
          <w:rFonts w:ascii="Times New Roman" w:hAnsi="Times New Roman" w:cs="Times New Roman"/>
          <w:sz w:val="26"/>
          <w:szCs w:val="26"/>
        </w:rPr>
      </w:pPr>
    </w:p>
    <w:p w:rsidR="005F0CF8" w:rsidRDefault="00C2150D" w:rsidP="009106FF">
      <w:pPr>
        <w:rPr>
          <w:rFonts w:ascii="Times New Roman" w:hAnsi="Times New Roman" w:cs="Times New Roman"/>
          <w:sz w:val="26"/>
          <w:szCs w:val="26"/>
        </w:rPr>
      </w:pPr>
      <w:r>
        <w:rPr>
          <w:noProof/>
          <w:sz w:val="16"/>
          <w:szCs w:val="16"/>
        </w:rPr>
        <w:drawing>
          <wp:inline distT="0" distB="0" distL="0" distR="0" wp14:anchorId="44FDBFB7" wp14:editId="55B0A173">
            <wp:extent cx="5943600" cy="439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nhard12.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399280"/>
                    </a:xfrm>
                    <a:prstGeom prst="rect">
                      <a:avLst/>
                    </a:prstGeom>
                  </pic:spPr>
                </pic:pic>
              </a:graphicData>
            </a:graphic>
          </wp:inline>
        </w:drawing>
      </w:r>
    </w:p>
    <w:p w:rsidR="00DC3955" w:rsidRDefault="00DC3955" w:rsidP="009106FF">
      <w:pPr>
        <w:rPr>
          <w:rFonts w:ascii="Times New Roman" w:hAnsi="Times New Roman" w:cs="Times New Roman"/>
          <w:sz w:val="26"/>
          <w:szCs w:val="26"/>
        </w:rPr>
      </w:pPr>
    </w:p>
    <w:p w:rsidR="005B05E6" w:rsidRPr="00B72C29" w:rsidRDefault="005B05E6" w:rsidP="005B05E6">
      <w:pPr>
        <w:rPr>
          <w:rFonts w:ascii="Times New Roman" w:hAnsi="Times New Roman" w:cs="Times New Roman"/>
          <w:b/>
          <w:sz w:val="26"/>
          <w:szCs w:val="26"/>
        </w:rPr>
      </w:pPr>
      <w:bookmarkStart w:id="0" w:name="_GoBack"/>
      <w:r w:rsidRPr="00B72C29">
        <w:rPr>
          <w:rFonts w:ascii="Times New Roman" w:hAnsi="Times New Roman" w:cs="Times New Roman"/>
          <w:b/>
          <w:sz w:val="26"/>
          <w:szCs w:val="26"/>
        </w:rPr>
        <w:t>Central Support Allocation Pools</w:t>
      </w:r>
    </w:p>
    <w:bookmarkEnd w:id="0"/>
    <w:p w:rsidR="005B05E6" w:rsidRPr="005B05E6" w:rsidRDefault="005B05E6" w:rsidP="005B05E6">
      <w:pPr>
        <w:rPr>
          <w:rFonts w:ascii="Times New Roman" w:hAnsi="Times New Roman" w:cs="Times New Roman"/>
          <w:sz w:val="26"/>
          <w:szCs w:val="26"/>
        </w:rPr>
      </w:pPr>
      <w:r w:rsidRPr="005B05E6">
        <w:rPr>
          <w:rFonts w:ascii="Times New Roman" w:hAnsi="Times New Roman" w:cs="Times New Roman"/>
          <w:sz w:val="26"/>
          <w:szCs w:val="26"/>
        </w:rPr>
        <w:t xml:space="preserve">Of the issues perceived as being of concern in the Responsibility Center Model (RCM) being proposed, one concept of importance is that of the Central Support Allocation Pool (CSAP) structure used to allocate indirect costs of administration to the colleges and schools within the University. One of the proposed guiding principles of the RCM process is that the process be “simple, transparent, and logical.” This is taken to mean that there is no direct intent to require any of the University’s Colleges to carry a disproportionate burden of the costs of Central Support functions beyond their actual use of such services. In that respect, </w:t>
      </w:r>
      <w:r w:rsidR="00F17B97">
        <w:rPr>
          <w:rFonts w:ascii="Times New Roman" w:hAnsi="Times New Roman" w:cs="Times New Roman"/>
          <w:sz w:val="26"/>
          <w:szCs w:val="26"/>
        </w:rPr>
        <w:t xml:space="preserve">it is not clear that </w:t>
      </w:r>
      <w:r w:rsidRPr="005B05E6">
        <w:rPr>
          <w:rFonts w:ascii="Times New Roman" w:hAnsi="Times New Roman" w:cs="Times New Roman"/>
          <w:sz w:val="26"/>
          <w:szCs w:val="26"/>
        </w:rPr>
        <w:t xml:space="preserve">the proposed CSAP structure </w:t>
      </w:r>
      <w:r w:rsidR="00F17B97">
        <w:rPr>
          <w:rFonts w:ascii="Times New Roman" w:hAnsi="Times New Roman" w:cs="Times New Roman"/>
          <w:sz w:val="26"/>
          <w:szCs w:val="26"/>
        </w:rPr>
        <w:t xml:space="preserve">is </w:t>
      </w:r>
      <w:r w:rsidRPr="005B05E6">
        <w:rPr>
          <w:rFonts w:ascii="Times New Roman" w:hAnsi="Times New Roman" w:cs="Times New Roman"/>
          <w:sz w:val="26"/>
          <w:szCs w:val="26"/>
        </w:rPr>
        <w:t xml:space="preserve">achieving its objective to be “logical.” To be successfully implemented, the University’s </w:t>
      </w:r>
      <w:r w:rsidRPr="005B05E6">
        <w:rPr>
          <w:rFonts w:ascii="Times New Roman" w:hAnsi="Times New Roman" w:cs="Times New Roman"/>
          <w:sz w:val="26"/>
          <w:szCs w:val="26"/>
        </w:rPr>
        <w:lastRenderedPageBreak/>
        <w:t>RCM will need to have the full faith and commitment of College’s Deans. That commitment will be assured only through fair and equitable treatment.</w:t>
      </w:r>
    </w:p>
    <w:p w:rsidR="005B05E6" w:rsidRPr="005B05E6" w:rsidRDefault="005B05E6" w:rsidP="005B05E6">
      <w:pPr>
        <w:rPr>
          <w:rFonts w:ascii="Times New Roman" w:hAnsi="Times New Roman" w:cs="Times New Roman"/>
          <w:sz w:val="26"/>
          <w:szCs w:val="26"/>
        </w:rPr>
      </w:pPr>
      <w:r w:rsidRPr="005B05E6">
        <w:rPr>
          <w:rFonts w:ascii="Times New Roman" w:hAnsi="Times New Roman" w:cs="Times New Roman"/>
          <w:sz w:val="26"/>
          <w:szCs w:val="26"/>
        </w:rPr>
        <w:t>The standard model for equitable indirect cost allocation of an educational institution’s administrative costs has long been OMB Circular A-21: Cost Principles for Educational Institutions. OMB Circular A-21 was recently replaced by the OMB’s Uniform Guidance as a combined policy document for a number of OMB circulars applying to different institutional types. As it relates to the principles and practices for the allocation of “Facilities and Administration Costs” for institutions of higher education, the changes have been nominal. A key aspect of indirect cost allocation is the distribution to operating units of what can be rationally determined as their representative fair share of the “overhead” costs of an organization. In Circular A-21’s presentation of “Purpose,” it directly states that “(t)he principles are designed to provide that the Federal Government bear its fair share of total costs, determined in accordance with generally accepted accounting principles, except where restricted or prohibited by law.” If, in the preceding quote, one were to substitute the phrase “a College” for ”the Federal Government” this would appear equivalent to the intent of the proposed RCM being addressed by the Committee in this case.</w:t>
      </w:r>
    </w:p>
    <w:p w:rsidR="005B05E6" w:rsidRPr="005B05E6" w:rsidRDefault="005B05E6" w:rsidP="005B05E6">
      <w:pPr>
        <w:rPr>
          <w:rFonts w:ascii="Times New Roman" w:hAnsi="Times New Roman" w:cs="Times New Roman"/>
          <w:sz w:val="26"/>
          <w:szCs w:val="26"/>
        </w:rPr>
      </w:pPr>
      <w:r w:rsidRPr="005B05E6">
        <w:rPr>
          <w:rFonts w:ascii="Times New Roman" w:hAnsi="Times New Roman" w:cs="Times New Roman"/>
          <w:sz w:val="26"/>
          <w:szCs w:val="26"/>
        </w:rPr>
        <w:t>Available at http://www.whitehouse.gov/omb/circulars_a021_2004, Circular A-21 directly addresses the allocation of the costs of Administration, through its treatment of “Facilities and Administration Costs” (F&amp;A costs). Section E 2 (b), specifically addresses its objective to distribute F&amp;A costs to major organizational functions (such as the University’s Colleges) “in proportions reasonably consistent with the nature and extent of their use of the institution's resources” and that it may be necessary to accomplish this through the creation of “cost groupings.” Such cost groupings being “a pool of those items of expense that are considered to be of like nature in terms of their relative contribution to (or degree of remoteness from) the particular cost objectives to which distribution is appropriate.” More specifically, Section F 5 categorizes the “central offices of the institution” and provides examples that include the President’s Office and other central services.  In sum, Circular A-21 posits its objective that administrative expense be generally allocated “in proportions reasonably consistent with the nature and extent of their use of the institution's resources” (Section E. 2 (b)). Further, administrative expense “shall be grouped first according to the common major functions of the institution to which they render services” (Section E. 5 (b)) and the costs for the separate categories of administrative cost be aggregated and a separate cost rate be generated for each function (Section G. 2).</w:t>
      </w:r>
    </w:p>
    <w:p w:rsidR="005B05E6" w:rsidRPr="005B05E6" w:rsidRDefault="005B05E6" w:rsidP="005B05E6">
      <w:pPr>
        <w:rPr>
          <w:rFonts w:ascii="Times New Roman" w:hAnsi="Times New Roman" w:cs="Times New Roman"/>
          <w:sz w:val="26"/>
          <w:szCs w:val="26"/>
        </w:rPr>
      </w:pPr>
      <w:r w:rsidRPr="005B05E6">
        <w:rPr>
          <w:rFonts w:ascii="Times New Roman" w:hAnsi="Times New Roman" w:cs="Times New Roman"/>
          <w:sz w:val="26"/>
          <w:szCs w:val="26"/>
        </w:rPr>
        <w:t xml:space="preserve">By way of example, under the proposed RCM model cost allocation for administrative services required, “Total Direct Expense” may not be generally representative of “the nature and extent of their use of the institution's resources.”  A common measure of service requirements used as an allocation base for administration in OMB Circular cost </w:t>
      </w:r>
      <w:r w:rsidRPr="005B05E6">
        <w:rPr>
          <w:rFonts w:ascii="Times New Roman" w:hAnsi="Times New Roman" w:cs="Times New Roman"/>
          <w:sz w:val="26"/>
          <w:szCs w:val="26"/>
        </w:rPr>
        <w:lastRenderedPageBreak/>
        <w:t>allocation exercises is “number of personnel” or “number of FTE’s.” This is due to the fundamental nature of “administration” being the overall direction of an organization comprised of people. In contrast, “Total Direct Expense” can encompass funding that reflects no personnel</w:t>
      </w:r>
      <w:r w:rsidR="00A27760">
        <w:rPr>
          <w:rFonts w:ascii="Times New Roman" w:hAnsi="Times New Roman" w:cs="Times New Roman"/>
          <w:sz w:val="26"/>
          <w:szCs w:val="26"/>
        </w:rPr>
        <w:t>.</w:t>
      </w:r>
      <w:r w:rsidRPr="005B05E6">
        <w:rPr>
          <w:rFonts w:ascii="Times New Roman" w:hAnsi="Times New Roman" w:cs="Times New Roman"/>
          <w:sz w:val="26"/>
          <w:szCs w:val="26"/>
        </w:rPr>
        <w:t xml:space="preserve"> Vis-à-vis accounting services, a common allocation base in such exercises is “number of transactions” (e.g. – a “department” created to provide safety inspection services of university facilities with 10 employees providing inspection services year-round, having operating expenses of $1 million annually, may generate thousands of transactions yearly. Conversely, a department established to pay liability insurance for campus transportation services may have $1 million premiums that are paid biannually and generate a total of 3 transactions – 1 to fund the department and 2 for premium payments).</w:t>
      </w:r>
    </w:p>
    <w:p w:rsidR="005B05E6" w:rsidRDefault="005B05E6" w:rsidP="00CE31A8">
      <w:pPr>
        <w:rPr>
          <w:rFonts w:ascii="Times New Roman" w:hAnsi="Times New Roman" w:cs="Times New Roman"/>
          <w:sz w:val="26"/>
          <w:szCs w:val="26"/>
        </w:rPr>
      </w:pPr>
      <w:r w:rsidRPr="005B05E6">
        <w:rPr>
          <w:rFonts w:ascii="Times New Roman" w:hAnsi="Times New Roman" w:cs="Times New Roman"/>
          <w:sz w:val="26"/>
          <w:szCs w:val="26"/>
        </w:rPr>
        <w:t>More generally, using a single allocation base for each of the 6 CSAP’s may produce an easily administered cost allocation system. However, it increases the probability of overloading indirect costs on some colleges or schools while under-loading others. This may well produce substantial dissatisfaction with the process and induce organizational morale issues that could jeopardize the successful implementation of the RCM.</w:t>
      </w:r>
    </w:p>
    <w:p w:rsidR="0044088A" w:rsidRDefault="0044088A" w:rsidP="00CE31A8">
      <w:pPr>
        <w:rPr>
          <w:rFonts w:ascii="Times New Roman" w:hAnsi="Times New Roman" w:cs="Times New Roman"/>
          <w:sz w:val="26"/>
          <w:szCs w:val="26"/>
        </w:rPr>
      </w:pPr>
    </w:p>
    <w:p w:rsidR="00884711" w:rsidRPr="004735F3" w:rsidRDefault="00884711" w:rsidP="00CE31A8">
      <w:pPr>
        <w:rPr>
          <w:rFonts w:ascii="Times New Roman" w:hAnsi="Times New Roman" w:cs="Times New Roman"/>
          <w:i/>
          <w:sz w:val="26"/>
          <w:szCs w:val="26"/>
        </w:rPr>
      </w:pPr>
      <w:r w:rsidRPr="004735F3">
        <w:rPr>
          <w:rFonts w:ascii="Times New Roman" w:hAnsi="Times New Roman" w:cs="Times New Roman"/>
          <w:i/>
          <w:sz w:val="26"/>
          <w:szCs w:val="26"/>
        </w:rPr>
        <w:t>Concerns</w:t>
      </w:r>
      <w:r w:rsidR="00DF3865" w:rsidRPr="004735F3">
        <w:rPr>
          <w:rFonts w:ascii="Times New Roman" w:hAnsi="Times New Roman" w:cs="Times New Roman"/>
          <w:i/>
          <w:sz w:val="26"/>
          <w:szCs w:val="26"/>
        </w:rPr>
        <w:t xml:space="preserve"> Regarding </w:t>
      </w:r>
      <w:r w:rsidR="004735F3" w:rsidRPr="004735F3">
        <w:rPr>
          <w:rFonts w:ascii="Times New Roman" w:hAnsi="Times New Roman" w:cs="Times New Roman"/>
          <w:i/>
          <w:sz w:val="26"/>
          <w:szCs w:val="26"/>
        </w:rPr>
        <w:t xml:space="preserve">Model </w:t>
      </w:r>
      <w:r w:rsidR="00B47051" w:rsidRPr="004735F3">
        <w:rPr>
          <w:rFonts w:ascii="Times New Roman" w:hAnsi="Times New Roman" w:cs="Times New Roman"/>
          <w:i/>
          <w:sz w:val="26"/>
          <w:szCs w:val="26"/>
        </w:rPr>
        <w:t>Implementation</w:t>
      </w:r>
    </w:p>
    <w:p w:rsidR="001115FF" w:rsidRDefault="001115FF" w:rsidP="009B1973">
      <w:pPr>
        <w:rPr>
          <w:rFonts w:ascii="Times New Roman" w:hAnsi="Times New Roman" w:cs="Times New Roman"/>
          <w:sz w:val="26"/>
          <w:szCs w:val="26"/>
        </w:rPr>
      </w:pPr>
      <w:r>
        <w:rPr>
          <w:rFonts w:ascii="Times New Roman" w:hAnsi="Times New Roman" w:cs="Times New Roman"/>
          <w:sz w:val="26"/>
          <w:szCs w:val="26"/>
        </w:rPr>
        <w:t xml:space="preserve">A concern of the current committee is that the new budget model, although more decentralized than in the past, does not provide </w:t>
      </w:r>
      <w:r w:rsidR="00B47051">
        <w:rPr>
          <w:rFonts w:ascii="Times New Roman" w:hAnsi="Times New Roman" w:cs="Times New Roman"/>
          <w:sz w:val="26"/>
          <w:szCs w:val="26"/>
        </w:rPr>
        <w:t>for</w:t>
      </w:r>
      <w:r>
        <w:rPr>
          <w:rFonts w:ascii="Times New Roman" w:hAnsi="Times New Roman" w:cs="Times New Roman"/>
          <w:sz w:val="26"/>
          <w:szCs w:val="26"/>
        </w:rPr>
        <w:t xml:space="preserve"> transparency at the lowest levels (departments) where incentivizing faculty is most important</w:t>
      </w:r>
      <w:r w:rsidR="004735F3">
        <w:rPr>
          <w:rFonts w:ascii="Times New Roman" w:hAnsi="Times New Roman" w:cs="Times New Roman"/>
          <w:sz w:val="26"/>
          <w:szCs w:val="26"/>
        </w:rPr>
        <w:t xml:space="preserve"> (see 3 above)</w:t>
      </w:r>
      <w:r>
        <w:rPr>
          <w:rFonts w:ascii="Times New Roman" w:hAnsi="Times New Roman" w:cs="Times New Roman"/>
          <w:sz w:val="26"/>
          <w:szCs w:val="26"/>
        </w:rPr>
        <w:t>.  The committee suggests that some sort of budget monitoring processes be incorporated at the department levels that dovetail with procedures at the College/School level to insure faculty buy-in of the new procedures.</w:t>
      </w:r>
      <w:r w:rsidR="00E50BA0">
        <w:rPr>
          <w:rFonts w:ascii="Times New Roman" w:hAnsi="Times New Roman" w:cs="Times New Roman"/>
          <w:sz w:val="26"/>
          <w:szCs w:val="26"/>
        </w:rPr>
        <w:t xml:space="preserve">  </w:t>
      </w:r>
      <w:r w:rsidR="00E50BA0" w:rsidRPr="00E50BA0">
        <w:rPr>
          <w:rFonts w:ascii="Times New Roman" w:hAnsi="Times New Roman" w:cs="Times New Roman"/>
          <w:sz w:val="26"/>
          <w:szCs w:val="26"/>
        </w:rPr>
        <w:t>The</w:t>
      </w:r>
      <w:r w:rsidR="00E50BA0">
        <w:rPr>
          <w:rFonts w:ascii="Times New Roman" w:hAnsi="Times New Roman" w:cs="Times New Roman"/>
          <w:sz w:val="26"/>
          <w:szCs w:val="26"/>
        </w:rPr>
        <w:t xml:space="preserve">re is a fear that we will </w:t>
      </w:r>
      <w:r w:rsidR="00E50BA0" w:rsidRPr="00E50BA0">
        <w:rPr>
          <w:rFonts w:ascii="Times New Roman" w:hAnsi="Times New Roman" w:cs="Times New Roman"/>
          <w:sz w:val="26"/>
          <w:szCs w:val="26"/>
        </w:rPr>
        <w:t xml:space="preserve">create a system with great (and needed) transparency above the colleges/deans, yet miss the opportunity to extend the transparency down to and through individual units, </w:t>
      </w:r>
      <w:r w:rsidR="00E50BA0">
        <w:rPr>
          <w:rFonts w:ascii="Times New Roman" w:hAnsi="Times New Roman" w:cs="Times New Roman"/>
          <w:sz w:val="26"/>
          <w:szCs w:val="26"/>
        </w:rPr>
        <w:t xml:space="preserve">possibly leading to </w:t>
      </w:r>
      <w:r w:rsidR="00E50BA0" w:rsidRPr="00E50BA0">
        <w:rPr>
          <w:rFonts w:ascii="Times New Roman" w:hAnsi="Times New Roman" w:cs="Times New Roman"/>
          <w:sz w:val="26"/>
          <w:szCs w:val="26"/>
        </w:rPr>
        <w:t>both inter</w:t>
      </w:r>
      <w:r w:rsidR="00E50BA0">
        <w:rPr>
          <w:rFonts w:ascii="Times New Roman" w:hAnsi="Times New Roman" w:cs="Times New Roman"/>
          <w:sz w:val="26"/>
          <w:szCs w:val="26"/>
        </w:rPr>
        <w:t>-</w:t>
      </w:r>
      <w:r w:rsidR="00E50BA0" w:rsidRPr="00E50BA0">
        <w:rPr>
          <w:rFonts w:ascii="Times New Roman" w:hAnsi="Times New Roman" w:cs="Times New Roman"/>
          <w:sz w:val="26"/>
          <w:szCs w:val="26"/>
        </w:rPr>
        <w:t>college and intra</w:t>
      </w:r>
      <w:r w:rsidR="00E50BA0">
        <w:rPr>
          <w:rFonts w:ascii="Times New Roman" w:hAnsi="Times New Roman" w:cs="Times New Roman"/>
          <w:sz w:val="26"/>
          <w:szCs w:val="26"/>
        </w:rPr>
        <w:t>-</w:t>
      </w:r>
      <w:r w:rsidR="00E50BA0" w:rsidRPr="00E50BA0">
        <w:rPr>
          <w:rFonts w:ascii="Times New Roman" w:hAnsi="Times New Roman" w:cs="Times New Roman"/>
          <w:sz w:val="26"/>
          <w:szCs w:val="26"/>
        </w:rPr>
        <w:t>college disputes over the budget process that certainly have the potential to be highly contentious. </w:t>
      </w:r>
    </w:p>
    <w:p w:rsidR="009465EB" w:rsidRDefault="009465EB" w:rsidP="009B1973">
      <w:pPr>
        <w:rPr>
          <w:rFonts w:ascii="Times New Roman" w:hAnsi="Times New Roman" w:cs="Times New Roman"/>
          <w:sz w:val="26"/>
          <w:szCs w:val="26"/>
        </w:rPr>
      </w:pPr>
    </w:p>
    <w:p w:rsidR="00E50BA0" w:rsidRDefault="00E50BA0" w:rsidP="009B1973">
      <w:pPr>
        <w:rPr>
          <w:rFonts w:ascii="Times New Roman" w:hAnsi="Times New Roman" w:cs="Times New Roman"/>
          <w:sz w:val="26"/>
          <w:szCs w:val="26"/>
        </w:rPr>
      </w:pPr>
      <w:r>
        <w:rPr>
          <w:rFonts w:ascii="Times New Roman" w:hAnsi="Times New Roman" w:cs="Times New Roman"/>
          <w:sz w:val="26"/>
          <w:szCs w:val="26"/>
        </w:rPr>
        <w:t>Regarding the new responsibilities of the existing Senate committees mentioned above, i</w:t>
      </w:r>
      <w:r w:rsidRPr="009B1973">
        <w:rPr>
          <w:rFonts w:ascii="Times New Roman" w:hAnsi="Times New Roman" w:cs="Times New Roman"/>
          <w:sz w:val="26"/>
          <w:szCs w:val="26"/>
        </w:rPr>
        <w:t>t is unclear that our existing policies/procedures/rules contemplated the decentralization of power that the decentralization of the budgeting process will surely entail.</w:t>
      </w:r>
      <w:r>
        <w:rPr>
          <w:rFonts w:ascii="Times New Roman" w:hAnsi="Times New Roman" w:cs="Times New Roman"/>
          <w:sz w:val="26"/>
          <w:szCs w:val="26"/>
        </w:rPr>
        <w:t xml:space="preserve">  </w:t>
      </w:r>
      <w:r w:rsidRPr="009B1973">
        <w:rPr>
          <w:rFonts w:ascii="Times New Roman" w:hAnsi="Times New Roman" w:cs="Times New Roman"/>
          <w:sz w:val="26"/>
          <w:szCs w:val="26"/>
        </w:rPr>
        <w:t xml:space="preserve">Traditionally, our focus has been on protection of faculty self-governance and academic freedom against assault from the “top down”, but it appears that there are many issues that will result from decentralization that will result not from top-down challenges but from what might be termed more lateral challenges, e.g. fairness of treatment across programs.  When you look at some existing procedures, e.g. Academic Program Review and how it </w:t>
      </w:r>
      <w:r w:rsidRPr="009B1973">
        <w:rPr>
          <w:rFonts w:ascii="Times New Roman" w:hAnsi="Times New Roman" w:cs="Times New Roman"/>
          <w:sz w:val="26"/>
          <w:szCs w:val="26"/>
        </w:rPr>
        <w:lastRenderedPageBreak/>
        <w:t>fits with reaccreditation and program enhancement/reduction, we may find that what we have now is inadequate to meet potential demands placed on it by our new budgeting process.  In this arena we have always thought in terms of financial exigency leading to program reduction, but in the new budget model it will become possible to either intentionally or unintentionally budget a program out of existence without any program review that considers the relationship of the program to the central mission of the University.  Review of compatibility of existing academic policy with the new budget model needs to be conducted in concert with budget implementation.</w:t>
      </w:r>
    </w:p>
    <w:p w:rsidR="00E50BA0" w:rsidRDefault="00E50BA0" w:rsidP="009B1973">
      <w:pPr>
        <w:rPr>
          <w:rFonts w:ascii="Times New Roman" w:hAnsi="Times New Roman" w:cs="Times New Roman"/>
          <w:sz w:val="26"/>
          <w:szCs w:val="26"/>
        </w:rPr>
      </w:pPr>
    </w:p>
    <w:p w:rsidR="00DF3865" w:rsidRDefault="00DF3865" w:rsidP="009B1973">
      <w:pPr>
        <w:rPr>
          <w:rFonts w:ascii="Times New Roman" w:hAnsi="Times New Roman" w:cs="Times New Roman"/>
          <w:sz w:val="26"/>
          <w:szCs w:val="26"/>
        </w:rPr>
      </w:pPr>
    </w:p>
    <w:p w:rsidR="006C5D4A" w:rsidRPr="006514BF" w:rsidRDefault="006C5D4A" w:rsidP="006C5D4A">
      <w:pPr>
        <w:rPr>
          <w:rFonts w:ascii="Times New Roman" w:hAnsi="Times New Roman" w:cs="Times New Roman"/>
          <w:b/>
          <w:sz w:val="26"/>
          <w:szCs w:val="26"/>
        </w:rPr>
      </w:pPr>
      <w:r w:rsidRPr="006C5D4A">
        <w:rPr>
          <w:rFonts w:ascii="Times New Roman" w:hAnsi="Times New Roman" w:cs="Times New Roman"/>
          <w:sz w:val="26"/>
          <w:szCs w:val="26"/>
        </w:rPr>
        <w:t xml:space="preserve"> </w:t>
      </w:r>
      <w:r w:rsidR="00DF3865" w:rsidRPr="00DF3865">
        <w:rPr>
          <w:rFonts w:ascii="Times New Roman" w:hAnsi="Times New Roman" w:cs="Times New Roman"/>
          <w:b/>
          <w:sz w:val="26"/>
          <w:szCs w:val="26"/>
        </w:rPr>
        <w:t>OVERALL</w:t>
      </w:r>
      <w:r w:rsidR="00DF3865">
        <w:rPr>
          <w:rFonts w:ascii="Times New Roman" w:hAnsi="Times New Roman" w:cs="Times New Roman"/>
          <w:sz w:val="26"/>
          <w:szCs w:val="26"/>
        </w:rPr>
        <w:t xml:space="preserve"> </w:t>
      </w:r>
      <w:r w:rsidR="006514BF" w:rsidRPr="006514BF">
        <w:rPr>
          <w:rFonts w:ascii="Times New Roman" w:hAnsi="Times New Roman" w:cs="Times New Roman"/>
          <w:b/>
          <w:sz w:val="28"/>
          <w:szCs w:val="28"/>
        </w:rPr>
        <w:t xml:space="preserve">AHSCSB </w:t>
      </w:r>
      <w:r w:rsidR="006C5CC5" w:rsidRPr="006514BF">
        <w:rPr>
          <w:rFonts w:ascii="Times New Roman" w:hAnsi="Times New Roman" w:cs="Times New Roman"/>
          <w:b/>
          <w:sz w:val="28"/>
          <w:szCs w:val="28"/>
        </w:rPr>
        <w:t>COMMITTEE RECOMMENDATIONS</w:t>
      </w:r>
    </w:p>
    <w:p w:rsidR="006C5D4A" w:rsidRPr="006C5D4A" w:rsidRDefault="006C5D4A" w:rsidP="006C5D4A">
      <w:pPr>
        <w:rPr>
          <w:rFonts w:ascii="Times New Roman" w:hAnsi="Times New Roman" w:cs="Times New Roman"/>
          <w:sz w:val="26"/>
          <w:szCs w:val="26"/>
        </w:rPr>
      </w:pPr>
    </w:p>
    <w:p w:rsidR="006C5D4A" w:rsidRDefault="00605D6B" w:rsidP="006C5D4A">
      <w:pPr>
        <w:rPr>
          <w:rFonts w:ascii="Times New Roman" w:hAnsi="Times New Roman" w:cs="Times New Roman"/>
          <w:sz w:val="26"/>
          <w:szCs w:val="26"/>
        </w:rPr>
      </w:pPr>
      <w:r>
        <w:rPr>
          <w:rFonts w:ascii="Times New Roman" w:hAnsi="Times New Roman" w:cs="Times New Roman"/>
          <w:sz w:val="26"/>
          <w:szCs w:val="26"/>
        </w:rPr>
        <w:t>The Ad Hoc Senate Committee on Strategic Budgeting has completed a long and thorough review of the rationale and proposed procedures for modifying the way budgeting is done on Auburn University’s Main campus.  The members of the committee are in general agreement with the need to develop an approach to budgeting that is both responsive to changes in the economic environment facing the University (and higher education in general) while allowing it t</w:t>
      </w:r>
      <w:r w:rsidR="00E85314">
        <w:rPr>
          <w:rFonts w:ascii="Times New Roman" w:hAnsi="Times New Roman" w:cs="Times New Roman"/>
          <w:sz w:val="26"/>
          <w:szCs w:val="26"/>
        </w:rPr>
        <w:t xml:space="preserve">he flexibility to invest in new, possibly yet unknown, initiatives.  </w:t>
      </w:r>
      <w:r w:rsidR="007E0514">
        <w:rPr>
          <w:rFonts w:ascii="Times New Roman" w:hAnsi="Times New Roman" w:cs="Times New Roman"/>
          <w:sz w:val="26"/>
          <w:szCs w:val="26"/>
        </w:rPr>
        <w:t>The RCM model and the version proposed here have the potential to provide the change needed for Auburn to move forward.  However, as a committee that has reviewed both positives and negatives associated with RCM implementations across the country (approximately 21% of doctoral granting institutions use some form of RCM) we have developed some recommendations:</w:t>
      </w:r>
    </w:p>
    <w:p w:rsidR="006C5CC5" w:rsidRDefault="006C5CC5" w:rsidP="006C5D4A">
      <w:pPr>
        <w:rPr>
          <w:rFonts w:ascii="Times New Roman" w:hAnsi="Times New Roman" w:cs="Times New Roman"/>
          <w:sz w:val="26"/>
          <w:szCs w:val="26"/>
        </w:rPr>
      </w:pPr>
    </w:p>
    <w:p w:rsidR="008F77AC" w:rsidRDefault="007E0514" w:rsidP="007E0514">
      <w:pPr>
        <w:pStyle w:val="ListParagraph"/>
        <w:numPr>
          <w:ilvl w:val="0"/>
          <w:numId w:val="11"/>
        </w:numPr>
        <w:rPr>
          <w:rFonts w:ascii="Times New Roman" w:hAnsi="Times New Roman" w:cs="Times New Roman"/>
          <w:sz w:val="26"/>
          <w:szCs w:val="26"/>
        </w:rPr>
      </w:pPr>
      <w:r w:rsidRPr="007B253A">
        <w:rPr>
          <w:rFonts w:ascii="Times New Roman" w:hAnsi="Times New Roman" w:cs="Times New Roman"/>
          <w:b/>
          <w:sz w:val="26"/>
          <w:szCs w:val="26"/>
        </w:rPr>
        <w:t>Tuition and fees should be allocated according to some form of weighting procedure</w:t>
      </w:r>
      <w:r>
        <w:rPr>
          <w:rFonts w:ascii="Times New Roman" w:hAnsi="Times New Roman" w:cs="Times New Roman"/>
          <w:sz w:val="26"/>
          <w:szCs w:val="26"/>
        </w:rPr>
        <w:t xml:space="preserve">.  </w:t>
      </w:r>
      <w:r w:rsidR="007B253A">
        <w:rPr>
          <w:rFonts w:ascii="Times New Roman" w:hAnsi="Times New Roman" w:cs="Times New Roman"/>
          <w:sz w:val="26"/>
          <w:szCs w:val="26"/>
        </w:rPr>
        <w:t xml:space="preserve">The wide variations in ‘Margins before MEF’ are not conducive to incentivizing deans and faculty.  </w:t>
      </w:r>
      <w:r>
        <w:rPr>
          <w:rFonts w:ascii="Times New Roman" w:hAnsi="Times New Roman" w:cs="Times New Roman"/>
          <w:sz w:val="26"/>
          <w:szCs w:val="26"/>
        </w:rPr>
        <w:t>Two investigations of</w:t>
      </w:r>
      <w:r w:rsidR="00F6227D">
        <w:rPr>
          <w:rFonts w:ascii="Times New Roman" w:hAnsi="Times New Roman" w:cs="Times New Roman"/>
          <w:sz w:val="26"/>
          <w:szCs w:val="26"/>
        </w:rPr>
        <w:t xml:space="preserve"> weighting methods both gave more units a better opportunity to produce a breakeven budget.  Cost of instruction weighting is the most common approach </w:t>
      </w:r>
      <w:r w:rsidR="007B253A">
        <w:rPr>
          <w:rFonts w:ascii="Times New Roman" w:hAnsi="Times New Roman" w:cs="Times New Roman"/>
          <w:sz w:val="26"/>
          <w:szCs w:val="26"/>
        </w:rPr>
        <w:t>used by other schools</w:t>
      </w:r>
      <w:r w:rsidR="00AD3C1C">
        <w:rPr>
          <w:rFonts w:ascii="Times New Roman" w:hAnsi="Times New Roman" w:cs="Times New Roman"/>
          <w:sz w:val="26"/>
          <w:szCs w:val="26"/>
        </w:rPr>
        <w:t xml:space="preserve"> (if they choose to use weights at all)</w:t>
      </w:r>
      <w:r w:rsidR="007B253A">
        <w:rPr>
          <w:rFonts w:ascii="Times New Roman" w:hAnsi="Times New Roman" w:cs="Times New Roman"/>
          <w:sz w:val="26"/>
          <w:szCs w:val="26"/>
        </w:rPr>
        <w:t xml:space="preserve">, </w:t>
      </w:r>
      <w:r w:rsidR="00AD3C1C">
        <w:rPr>
          <w:rFonts w:ascii="Times New Roman" w:hAnsi="Times New Roman" w:cs="Times New Roman"/>
          <w:sz w:val="26"/>
          <w:szCs w:val="26"/>
        </w:rPr>
        <w:t>but the PLS estimation</w:t>
      </w:r>
      <w:r w:rsidR="00F6227D">
        <w:rPr>
          <w:rFonts w:ascii="Times New Roman" w:hAnsi="Times New Roman" w:cs="Times New Roman"/>
          <w:sz w:val="26"/>
          <w:szCs w:val="26"/>
        </w:rPr>
        <w:t xml:space="preserve"> approach presented here provides the best opportunity to arrive at a set of weights that will get all 12 Schools and Colleges as close to breakeven as possible</w:t>
      </w:r>
      <w:r w:rsidR="007B253A">
        <w:rPr>
          <w:rFonts w:ascii="Times New Roman" w:hAnsi="Times New Roman" w:cs="Times New Roman"/>
          <w:sz w:val="26"/>
          <w:szCs w:val="26"/>
        </w:rPr>
        <w:t>,</w:t>
      </w:r>
      <w:r w:rsidR="00F6227D">
        <w:rPr>
          <w:rFonts w:ascii="Times New Roman" w:hAnsi="Times New Roman" w:cs="Times New Roman"/>
          <w:sz w:val="26"/>
          <w:szCs w:val="26"/>
        </w:rPr>
        <w:t xml:space="preserve"> while </w:t>
      </w:r>
      <w:r w:rsidR="007B253A">
        <w:rPr>
          <w:rFonts w:ascii="Times New Roman" w:hAnsi="Times New Roman" w:cs="Times New Roman"/>
          <w:sz w:val="26"/>
          <w:szCs w:val="26"/>
        </w:rPr>
        <w:t>minimizing the value judgements that seem to be associated with weighting instructional costs by discipline (unde</w:t>
      </w:r>
      <w:r w:rsidR="00AD3C1C">
        <w:rPr>
          <w:rFonts w:ascii="Times New Roman" w:hAnsi="Times New Roman" w:cs="Times New Roman"/>
          <w:sz w:val="26"/>
          <w:szCs w:val="26"/>
        </w:rPr>
        <w:t>r the PLS</w:t>
      </w:r>
      <w:r w:rsidR="007B253A">
        <w:rPr>
          <w:rFonts w:ascii="Times New Roman" w:hAnsi="Times New Roman" w:cs="Times New Roman"/>
          <w:sz w:val="26"/>
          <w:szCs w:val="26"/>
        </w:rPr>
        <w:t xml:space="preserve"> approach the w</w:t>
      </w:r>
      <w:r w:rsidR="00F6227D">
        <w:rPr>
          <w:rFonts w:ascii="Times New Roman" w:hAnsi="Times New Roman" w:cs="Times New Roman"/>
          <w:sz w:val="26"/>
          <w:szCs w:val="26"/>
        </w:rPr>
        <w:t xml:space="preserve">eighting criteria </w:t>
      </w:r>
      <w:r w:rsidR="007B253A">
        <w:rPr>
          <w:rFonts w:ascii="Times New Roman" w:hAnsi="Times New Roman" w:cs="Times New Roman"/>
          <w:sz w:val="26"/>
          <w:szCs w:val="26"/>
        </w:rPr>
        <w:t xml:space="preserve">are more objective </w:t>
      </w:r>
      <w:r w:rsidR="00F6227D">
        <w:rPr>
          <w:rFonts w:ascii="Times New Roman" w:hAnsi="Times New Roman" w:cs="Times New Roman"/>
          <w:sz w:val="26"/>
          <w:szCs w:val="26"/>
        </w:rPr>
        <w:t>student counts, faculty numbers, square footage of classroom space</w:t>
      </w:r>
      <w:r w:rsidR="004735F3">
        <w:rPr>
          <w:rFonts w:ascii="Times New Roman" w:hAnsi="Times New Roman" w:cs="Times New Roman"/>
          <w:sz w:val="26"/>
          <w:szCs w:val="26"/>
        </w:rPr>
        <w:t>, etc.</w:t>
      </w:r>
      <w:r w:rsidR="00F6227D">
        <w:rPr>
          <w:rFonts w:ascii="Times New Roman" w:hAnsi="Times New Roman" w:cs="Times New Roman"/>
          <w:sz w:val="26"/>
          <w:szCs w:val="26"/>
        </w:rPr>
        <w:t>).</w:t>
      </w:r>
      <w:r w:rsidR="008F77AC">
        <w:rPr>
          <w:rFonts w:ascii="Times New Roman" w:hAnsi="Times New Roman" w:cs="Times New Roman"/>
          <w:sz w:val="26"/>
          <w:szCs w:val="26"/>
        </w:rPr>
        <w:br/>
      </w:r>
    </w:p>
    <w:p w:rsidR="007E0514" w:rsidRDefault="008F77AC" w:rsidP="007E0514">
      <w:pPr>
        <w:pStyle w:val="ListParagraph"/>
        <w:numPr>
          <w:ilvl w:val="0"/>
          <w:numId w:val="11"/>
        </w:numPr>
        <w:rPr>
          <w:rFonts w:ascii="Times New Roman" w:hAnsi="Times New Roman" w:cs="Times New Roman"/>
          <w:sz w:val="26"/>
          <w:szCs w:val="26"/>
        </w:rPr>
      </w:pPr>
      <w:r>
        <w:rPr>
          <w:rFonts w:ascii="Times New Roman" w:hAnsi="Times New Roman" w:cs="Times New Roman"/>
          <w:b/>
          <w:sz w:val="26"/>
          <w:szCs w:val="26"/>
        </w:rPr>
        <w:lastRenderedPageBreak/>
        <w:t xml:space="preserve">Re-examine the rationale for splitting tuition into various components (resident/non-resident; department of instruction/department of major).  </w:t>
      </w:r>
      <w:r>
        <w:rPr>
          <w:rFonts w:ascii="Times New Roman" w:hAnsi="Times New Roman" w:cs="Times New Roman"/>
          <w:sz w:val="26"/>
          <w:szCs w:val="26"/>
        </w:rPr>
        <w:t>If a weighting method is adopted as described above, these splits unnecessarily complicate the allocation of tuition and fees to units that need them to balance their budgets.</w:t>
      </w:r>
      <w:r w:rsidR="007B253A">
        <w:rPr>
          <w:rFonts w:ascii="Times New Roman" w:hAnsi="Times New Roman" w:cs="Times New Roman"/>
          <w:sz w:val="26"/>
          <w:szCs w:val="26"/>
        </w:rPr>
        <w:br/>
      </w:r>
    </w:p>
    <w:p w:rsidR="008D0917" w:rsidRDefault="007B253A" w:rsidP="007E0514">
      <w:pPr>
        <w:pStyle w:val="ListParagraph"/>
        <w:numPr>
          <w:ilvl w:val="0"/>
          <w:numId w:val="11"/>
        </w:numPr>
        <w:rPr>
          <w:rFonts w:ascii="Times New Roman" w:hAnsi="Times New Roman" w:cs="Times New Roman"/>
          <w:sz w:val="26"/>
          <w:szCs w:val="26"/>
        </w:rPr>
      </w:pPr>
      <w:r>
        <w:rPr>
          <w:rFonts w:ascii="Times New Roman" w:hAnsi="Times New Roman" w:cs="Times New Roman"/>
          <w:b/>
          <w:sz w:val="26"/>
          <w:szCs w:val="26"/>
        </w:rPr>
        <w:t>Year</w:t>
      </w:r>
      <w:r w:rsidRPr="007B253A">
        <w:rPr>
          <w:rFonts w:ascii="Times New Roman" w:hAnsi="Times New Roman" w:cs="Times New Roman"/>
          <w:sz w:val="26"/>
          <w:szCs w:val="26"/>
        </w:rPr>
        <w:t>-</w:t>
      </w:r>
      <w:r>
        <w:rPr>
          <w:rFonts w:ascii="Times New Roman" w:hAnsi="Times New Roman" w:cs="Times New Roman"/>
          <w:b/>
          <w:sz w:val="26"/>
          <w:szCs w:val="26"/>
        </w:rPr>
        <w:t>to-year reductions in funding sh</w:t>
      </w:r>
      <w:r w:rsidR="008D0917">
        <w:rPr>
          <w:rFonts w:ascii="Times New Roman" w:hAnsi="Times New Roman" w:cs="Times New Roman"/>
          <w:b/>
          <w:sz w:val="26"/>
          <w:szCs w:val="26"/>
        </w:rPr>
        <w:t>ould be capped at 3</w:t>
      </w:r>
      <w:r>
        <w:rPr>
          <w:rFonts w:ascii="Times New Roman" w:hAnsi="Times New Roman" w:cs="Times New Roman"/>
          <w:b/>
          <w:sz w:val="26"/>
          <w:szCs w:val="26"/>
        </w:rPr>
        <w:t>%</w:t>
      </w:r>
      <w:r w:rsidR="008D0917">
        <w:rPr>
          <w:rFonts w:ascii="Times New Roman" w:hAnsi="Times New Roman" w:cs="Times New Roman"/>
          <w:b/>
          <w:sz w:val="26"/>
          <w:szCs w:val="26"/>
        </w:rPr>
        <w:t xml:space="preserve"> of total revenues</w:t>
      </w:r>
      <w:r>
        <w:rPr>
          <w:rFonts w:ascii="Times New Roman" w:hAnsi="Times New Roman" w:cs="Times New Roman"/>
          <w:b/>
          <w:sz w:val="26"/>
          <w:szCs w:val="26"/>
        </w:rPr>
        <w:t xml:space="preserve">.  </w:t>
      </w:r>
      <w:r>
        <w:rPr>
          <w:rFonts w:ascii="Times New Roman" w:hAnsi="Times New Roman" w:cs="Times New Roman"/>
          <w:sz w:val="26"/>
          <w:szCs w:val="26"/>
        </w:rPr>
        <w:t>Many of the academic units will face a nega</w:t>
      </w:r>
      <w:r w:rsidR="008D0917">
        <w:rPr>
          <w:rFonts w:ascii="Times New Roman" w:hAnsi="Times New Roman" w:cs="Times New Roman"/>
          <w:sz w:val="26"/>
          <w:szCs w:val="26"/>
        </w:rPr>
        <w:t>tive margin as they are forecasting</w:t>
      </w:r>
      <w:r>
        <w:rPr>
          <w:rFonts w:ascii="Times New Roman" w:hAnsi="Times New Roman" w:cs="Times New Roman"/>
          <w:sz w:val="26"/>
          <w:szCs w:val="26"/>
        </w:rPr>
        <w:t xml:space="preserve"> their revenues and costs </w:t>
      </w:r>
      <w:r w:rsidR="00FA7278">
        <w:rPr>
          <w:rFonts w:ascii="Times New Roman" w:hAnsi="Times New Roman" w:cs="Times New Roman"/>
          <w:sz w:val="26"/>
          <w:szCs w:val="26"/>
        </w:rPr>
        <w:t xml:space="preserve">(in the 2012 example, 2 units faced a shortfall of over $10,000,000).  If the MEF contribution to the unit makes it solvent there </w:t>
      </w:r>
      <w:r w:rsidR="008D0917">
        <w:rPr>
          <w:rFonts w:ascii="Times New Roman" w:hAnsi="Times New Roman" w:cs="Times New Roman"/>
          <w:sz w:val="26"/>
          <w:szCs w:val="26"/>
        </w:rPr>
        <w:t xml:space="preserve">is no problem. </w:t>
      </w:r>
      <w:r w:rsidR="00F263F3">
        <w:rPr>
          <w:rFonts w:ascii="Times New Roman" w:hAnsi="Times New Roman" w:cs="Times New Roman"/>
          <w:sz w:val="26"/>
          <w:szCs w:val="26"/>
        </w:rPr>
        <w:t xml:space="preserve"> </w:t>
      </w:r>
      <w:r w:rsidR="008D0917">
        <w:rPr>
          <w:rFonts w:ascii="Times New Roman" w:hAnsi="Times New Roman" w:cs="Times New Roman"/>
          <w:sz w:val="26"/>
          <w:szCs w:val="26"/>
        </w:rPr>
        <w:t xml:space="preserve">But </w:t>
      </w:r>
      <w:r w:rsidR="00F263F3">
        <w:rPr>
          <w:rFonts w:ascii="Times New Roman" w:hAnsi="Times New Roman" w:cs="Times New Roman"/>
          <w:sz w:val="26"/>
          <w:szCs w:val="26"/>
        </w:rPr>
        <w:t>if in budget negotiations, a</w:t>
      </w:r>
      <w:r w:rsidR="00FA7278">
        <w:rPr>
          <w:rFonts w:ascii="Times New Roman" w:hAnsi="Times New Roman" w:cs="Times New Roman"/>
          <w:sz w:val="26"/>
          <w:szCs w:val="26"/>
        </w:rPr>
        <w:t xml:space="preserve"> Provost suggests awarding less than that amount, </w:t>
      </w:r>
      <w:r w:rsidR="008D0917">
        <w:rPr>
          <w:rFonts w:ascii="Times New Roman" w:hAnsi="Times New Roman" w:cs="Times New Roman"/>
          <w:sz w:val="26"/>
          <w:szCs w:val="26"/>
        </w:rPr>
        <w:t>that reduction should not exceed 3% of the units total budgeted revenues for the year</w:t>
      </w:r>
      <w:r w:rsidR="00C441EA">
        <w:rPr>
          <w:rFonts w:ascii="Times New Roman" w:hAnsi="Times New Roman" w:cs="Times New Roman"/>
          <w:sz w:val="26"/>
          <w:szCs w:val="26"/>
        </w:rPr>
        <w:t>.</w:t>
      </w:r>
      <w:r w:rsidR="00C441EA">
        <w:rPr>
          <w:rFonts w:ascii="Times New Roman" w:hAnsi="Times New Roman" w:cs="Times New Roman"/>
          <w:sz w:val="26"/>
          <w:szCs w:val="26"/>
        </w:rPr>
        <w:br/>
      </w:r>
    </w:p>
    <w:p w:rsidR="00C441EA" w:rsidRDefault="00C441EA" w:rsidP="007E0514">
      <w:pPr>
        <w:pStyle w:val="ListParagraph"/>
        <w:numPr>
          <w:ilvl w:val="0"/>
          <w:numId w:val="11"/>
        </w:numPr>
        <w:rPr>
          <w:rFonts w:ascii="Times New Roman" w:hAnsi="Times New Roman" w:cs="Times New Roman"/>
          <w:sz w:val="26"/>
          <w:szCs w:val="26"/>
        </w:rPr>
      </w:pPr>
      <w:r w:rsidRPr="00C441EA">
        <w:rPr>
          <w:rFonts w:ascii="Times New Roman" w:hAnsi="Times New Roman" w:cs="Times New Roman"/>
          <w:b/>
          <w:sz w:val="26"/>
          <w:szCs w:val="26"/>
        </w:rPr>
        <w:t>Review the selection of bases for determining contributions to the Central Support Allocation pools</w:t>
      </w:r>
      <w:r w:rsidRPr="00C441EA">
        <w:rPr>
          <w:rFonts w:ascii="Times New Roman" w:hAnsi="Times New Roman" w:cs="Times New Roman"/>
          <w:sz w:val="26"/>
          <w:szCs w:val="26"/>
        </w:rPr>
        <w:t>.</w:t>
      </w:r>
    </w:p>
    <w:p w:rsidR="007B253A" w:rsidRDefault="008D0917" w:rsidP="008D0917">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 </w:t>
      </w:r>
    </w:p>
    <w:p w:rsidR="008F77AC" w:rsidRDefault="000D0FEB" w:rsidP="008F77AC">
      <w:pPr>
        <w:pStyle w:val="ListParagraph"/>
        <w:numPr>
          <w:ilvl w:val="0"/>
          <w:numId w:val="11"/>
        </w:numPr>
        <w:rPr>
          <w:rFonts w:ascii="Times New Roman" w:hAnsi="Times New Roman" w:cs="Times New Roman"/>
          <w:sz w:val="26"/>
          <w:szCs w:val="26"/>
        </w:rPr>
      </w:pPr>
      <w:r>
        <w:rPr>
          <w:rFonts w:ascii="Times New Roman" w:hAnsi="Times New Roman" w:cs="Times New Roman"/>
          <w:b/>
          <w:sz w:val="26"/>
          <w:szCs w:val="26"/>
        </w:rPr>
        <w:t xml:space="preserve">Institute a policy </w:t>
      </w:r>
      <w:r w:rsidR="00AD3C1C">
        <w:rPr>
          <w:rFonts w:ascii="Times New Roman" w:hAnsi="Times New Roman" w:cs="Times New Roman"/>
          <w:b/>
          <w:sz w:val="26"/>
          <w:szCs w:val="26"/>
        </w:rPr>
        <w:t xml:space="preserve">that encourages Colleges/Schools to prepare guidelines </w:t>
      </w:r>
      <w:r w:rsidR="008D0917">
        <w:rPr>
          <w:rFonts w:ascii="Times New Roman" w:hAnsi="Times New Roman" w:cs="Times New Roman"/>
          <w:b/>
          <w:sz w:val="26"/>
          <w:szCs w:val="26"/>
        </w:rPr>
        <w:t>providing</w:t>
      </w:r>
      <w:r w:rsidR="00AD3C1C">
        <w:rPr>
          <w:rFonts w:ascii="Times New Roman" w:hAnsi="Times New Roman" w:cs="Times New Roman"/>
          <w:b/>
          <w:sz w:val="26"/>
          <w:szCs w:val="26"/>
        </w:rPr>
        <w:t xml:space="preserve"> for the participation of departments </w:t>
      </w:r>
      <w:r w:rsidR="008D0917">
        <w:rPr>
          <w:rFonts w:ascii="Times New Roman" w:hAnsi="Times New Roman" w:cs="Times New Roman"/>
          <w:b/>
          <w:sz w:val="26"/>
          <w:szCs w:val="26"/>
        </w:rPr>
        <w:t xml:space="preserve">(and their faculty) </w:t>
      </w:r>
      <w:r w:rsidR="00AD3C1C">
        <w:rPr>
          <w:rFonts w:ascii="Times New Roman" w:hAnsi="Times New Roman" w:cs="Times New Roman"/>
          <w:b/>
          <w:sz w:val="26"/>
          <w:szCs w:val="26"/>
        </w:rPr>
        <w:t xml:space="preserve">in the budget process. </w:t>
      </w:r>
    </w:p>
    <w:p w:rsidR="007B253A" w:rsidRPr="007B253A" w:rsidRDefault="007B253A" w:rsidP="007B253A">
      <w:pPr>
        <w:ind w:left="720"/>
        <w:rPr>
          <w:rFonts w:ascii="Times New Roman" w:hAnsi="Times New Roman" w:cs="Times New Roman"/>
          <w:sz w:val="26"/>
          <w:szCs w:val="26"/>
        </w:rPr>
      </w:pPr>
      <w:r>
        <w:rPr>
          <w:rFonts w:ascii="Times New Roman" w:hAnsi="Times New Roman" w:cs="Times New Roman"/>
          <w:sz w:val="26"/>
          <w:szCs w:val="26"/>
        </w:rPr>
        <w:br/>
      </w:r>
    </w:p>
    <w:p w:rsidR="006C5D4A" w:rsidRDefault="006C5D4A" w:rsidP="009106FF">
      <w:pPr>
        <w:rPr>
          <w:rFonts w:ascii="Times New Roman" w:hAnsi="Times New Roman" w:cs="Times New Roman"/>
          <w:sz w:val="26"/>
          <w:szCs w:val="26"/>
        </w:rPr>
      </w:pPr>
    </w:p>
    <w:p w:rsidR="004735F3" w:rsidRDefault="004735F3" w:rsidP="004735F3">
      <w:pPr>
        <w:rPr>
          <w:rFonts w:ascii="Times New Roman" w:hAnsi="Times New Roman" w:cs="Times New Roman"/>
          <w:sz w:val="26"/>
          <w:szCs w:val="26"/>
        </w:rPr>
      </w:pPr>
      <w:r>
        <w:rPr>
          <w:rFonts w:ascii="Times New Roman" w:hAnsi="Times New Roman" w:cs="Times New Roman"/>
          <w:sz w:val="26"/>
          <w:szCs w:val="26"/>
        </w:rPr>
        <w:br w:type="page"/>
      </w:r>
    </w:p>
    <w:p w:rsidR="004735F3" w:rsidRDefault="004735F3" w:rsidP="004735F3">
      <w:pPr>
        <w:jc w:val="center"/>
        <w:rPr>
          <w:rFonts w:ascii="Times New Roman" w:hAnsi="Times New Roman" w:cs="Times New Roman"/>
          <w:sz w:val="28"/>
          <w:szCs w:val="28"/>
        </w:rPr>
        <w:sectPr w:rsidR="004735F3" w:rsidSect="006C5CC5">
          <w:pgSz w:w="12240" w:h="15840"/>
          <w:pgMar w:top="1440" w:right="1440" w:bottom="720" w:left="1440" w:header="720" w:footer="720" w:gutter="0"/>
          <w:cols w:space="720"/>
          <w:docGrid w:linePitch="360"/>
        </w:sectPr>
      </w:pPr>
    </w:p>
    <w:p w:rsidR="004735F3" w:rsidRDefault="004735F3" w:rsidP="004735F3">
      <w:pPr>
        <w:rPr>
          <w:rFonts w:ascii="Times New Roman" w:hAnsi="Times New Roman" w:cs="Times New Roman"/>
          <w:b/>
          <w:sz w:val="28"/>
          <w:szCs w:val="28"/>
        </w:rPr>
      </w:pPr>
      <w:r w:rsidRPr="00573DC1">
        <w:rPr>
          <w:rFonts w:ascii="Times New Roman" w:hAnsi="Times New Roman" w:cs="Times New Roman"/>
          <w:b/>
          <w:sz w:val="24"/>
          <w:szCs w:val="24"/>
        </w:rPr>
        <w:lastRenderedPageBreak/>
        <w:t>Appendix 1.</w:t>
      </w:r>
      <w:r w:rsidRPr="00F16992">
        <w:rPr>
          <w:noProof/>
        </w:rPr>
        <w:drawing>
          <wp:inline distT="0" distB="0" distL="0" distR="0" wp14:anchorId="746C3C5A" wp14:editId="7754430D">
            <wp:extent cx="6492240" cy="8678453"/>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2240" cy="8678453"/>
                    </a:xfrm>
                    <a:prstGeom prst="rect">
                      <a:avLst/>
                    </a:prstGeom>
                    <a:noFill/>
                    <a:ln>
                      <a:noFill/>
                    </a:ln>
                  </pic:spPr>
                </pic:pic>
              </a:graphicData>
            </a:graphic>
          </wp:inline>
        </w:drawing>
      </w:r>
      <w:r w:rsidRPr="00510335">
        <w:rPr>
          <w:rFonts w:ascii="Times New Roman" w:hAnsi="Times New Roman" w:cs="Times New Roman"/>
          <w:b/>
          <w:sz w:val="28"/>
          <w:szCs w:val="28"/>
        </w:rPr>
        <w:t xml:space="preserve"> </w:t>
      </w:r>
    </w:p>
    <w:p w:rsidR="004735F3" w:rsidRDefault="004735F3" w:rsidP="004735F3">
      <w:pPr>
        <w:rPr>
          <w:rFonts w:ascii="Times New Roman" w:hAnsi="Times New Roman" w:cs="Times New Roman"/>
          <w:b/>
          <w:sz w:val="28"/>
          <w:szCs w:val="28"/>
        </w:rPr>
        <w:sectPr w:rsidR="004735F3" w:rsidSect="00DC59BA">
          <w:pgSz w:w="12240" w:h="15840" w:code="1"/>
          <w:pgMar w:top="720" w:right="576" w:bottom="720" w:left="1440" w:header="0" w:footer="0" w:gutter="0"/>
          <w:cols w:space="720"/>
          <w:docGrid w:linePitch="360"/>
        </w:sectPr>
      </w:pPr>
    </w:p>
    <w:p w:rsidR="006C5D4A" w:rsidRPr="004735F3" w:rsidRDefault="004735F3" w:rsidP="009106FF">
      <w:pPr>
        <w:rPr>
          <w:rFonts w:ascii="Times New Roman" w:hAnsi="Times New Roman" w:cs="Times New Roman"/>
          <w:sz w:val="28"/>
          <w:szCs w:val="28"/>
        </w:rPr>
      </w:pPr>
      <w:r w:rsidRPr="00573DC1">
        <w:rPr>
          <w:rFonts w:ascii="Times New Roman" w:hAnsi="Times New Roman" w:cs="Times New Roman"/>
          <w:b/>
          <w:sz w:val="24"/>
          <w:szCs w:val="24"/>
        </w:rPr>
        <w:lastRenderedPageBreak/>
        <w:t>Appendix 2.  Model Results Comparing Tuition and Fees Weighted Using Delaware Cost Study Weights vs. No Weights (FY2011 weights for FY2012 and FY2013 bud</w:t>
      </w:r>
      <w:r w:rsidR="00573DC1">
        <w:rPr>
          <w:rFonts w:ascii="Times New Roman" w:hAnsi="Times New Roman" w:cs="Times New Roman"/>
          <w:b/>
          <w:noProof/>
          <w:sz w:val="28"/>
          <w:szCs w:val="28"/>
        </w:rPr>
        <w:t>gets)</w:t>
      </w:r>
      <w:r>
        <w:rPr>
          <w:rFonts w:ascii="Times New Roman" w:hAnsi="Times New Roman" w:cs="Times New Roman"/>
          <w:b/>
          <w:noProof/>
          <w:sz w:val="28"/>
          <w:szCs w:val="28"/>
        </w:rPr>
        <w:drawing>
          <wp:inline distT="0" distB="0" distL="0" distR="0" wp14:anchorId="769D3B63" wp14:editId="08FC33F0">
            <wp:extent cx="6574536"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4536" cy="4206240"/>
                    </a:xfrm>
                    <a:prstGeom prst="rect">
                      <a:avLst/>
                    </a:prstGeom>
                    <a:noFill/>
                  </pic:spPr>
                </pic:pic>
              </a:graphicData>
            </a:graphic>
          </wp:inline>
        </w:drawing>
      </w:r>
      <w:r>
        <w:rPr>
          <w:rFonts w:ascii="Times New Roman" w:hAnsi="Times New Roman" w:cs="Times New Roman"/>
          <w:b/>
          <w:sz w:val="28"/>
          <w:szCs w:val="28"/>
        </w:rPr>
        <w:br/>
      </w:r>
      <w:r>
        <w:rPr>
          <w:rFonts w:ascii="Times New Roman" w:hAnsi="Times New Roman" w:cs="Times New Roman"/>
          <w:b/>
          <w:noProof/>
          <w:sz w:val="28"/>
          <w:szCs w:val="28"/>
        </w:rPr>
        <w:drawing>
          <wp:inline distT="0" distB="0" distL="0" distR="0" wp14:anchorId="4E61321D" wp14:editId="01CC57A8">
            <wp:extent cx="6574536" cy="420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4536" cy="4206240"/>
                    </a:xfrm>
                    <a:prstGeom prst="rect">
                      <a:avLst/>
                    </a:prstGeom>
                    <a:noFill/>
                  </pic:spPr>
                </pic:pic>
              </a:graphicData>
            </a:graphic>
          </wp:inline>
        </w:drawing>
      </w:r>
    </w:p>
    <w:sectPr w:rsidR="006C5D4A" w:rsidRPr="004735F3" w:rsidSect="00573DC1">
      <w:pgSz w:w="12240" w:h="15840"/>
      <w:pgMar w:top="576" w:right="432"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BF" w:rsidRDefault="00D565BF" w:rsidP="00510335">
      <w:pPr>
        <w:spacing w:after="0" w:line="240" w:lineRule="auto"/>
      </w:pPr>
      <w:r>
        <w:separator/>
      </w:r>
    </w:p>
  </w:endnote>
  <w:endnote w:type="continuationSeparator" w:id="0">
    <w:p w:rsidR="00D565BF" w:rsidRDefault="00D565BF" w:rsidP="0051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013298"/>
      <w:docPartObj>
        <w:docPartGallery w:val="Page Numbers (Bottom of Page)"/>
        <w:docPartUnique/>
      </w:docPartObj>
    </w:sdtPr>
    <w:sdtEndPr>
      <w:rPr>
        <w:noProof/>
      </w:rPr>
    </w:sdtEndPr>
    <w:sdtContent>
      <w:p w:rsidR="009465EB" w:rsidRDefault="009465EB">
        <w:pPr>
          <w:pStyle w:val="Footer"/>
          <w:jc w:val="right"/>
        </w:pPr>
        <w:r>
          <w:fldChar w:fldCharType="begin"/>
        </w:r>
        <w:r>
          <w:instrText xml:space="preserve"> PAGE   \* MERGEFORMAT </w:instrText>
        </w:r>
        <w:r>
          <w:fldChar w:fldCharType="separate"/>
        </w:r>
        <w:r w:rsidR="00B72C29">
          <w:rPr>
            <w:noProof/>
          </w:rPr>
          <w:t>18</w:t>
        </w:r>
        <w:r>
          <w:rPr>
            <w:noProof/>
          </w:rPr>
          <w:fldChar w:fldCharType="end"/>
        </w:r>
      </w:p>
    </w:sdtContent>
  </w:sdt>
  <w:p w:rsidR="009465EB" w:rsidRDefault="00946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BF" w:rsidRDefault="00D565BF" w:rsidP="00510335">
      <w:pPr>
        <w:spacing w:after="0" w:line="240" w:lineRule="auto"/>
      </w:pPr>
      <w:r>
        <w:separator/>
      </w:r>
    </w:p>
  </w:footnote>
  <w:footnote w:type="continuationSeparator" w:id="0">
    <w:p w:rsidR="00D565BF" w:rsidRDefault="00D565BF" w:rsidP="005103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029"/>
    <w:multiLevelType w:val="hybridMultilevel"/>
    <w:tmpl w:val="9980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E3C9A"/>
    <w:multiLevelType w:val="hybridMultilevel"/>
    <w:tmpl w:val="4B98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61FB1"/>
    <w:multiLevelType w:val="hybridMultilevel"/>
    <w:tmpl w:val="26863B6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724D2"/>
    <w:multiLevelType w:val="hybridMultilevel"/>
    <w:tmpl w:val="69BA9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B7032"/>
    <w:multiLevelType w:val="hybridMultilevel"/>
    <w:tmpl w:val="083E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5497C"/>
    <w:multiLevelType w:val="hybridMultilevel"/>
    <w:tmpl w:val="8ACE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04A16"/>
    <w:multiLevelType w:val="hybridMultilevel"/>
    <w:tmpl w:val="A9B89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11E14C7"/>
    <w:multiLevelType w:val="hybridMultilevel"/>
    <w:tmpl w:val="62A0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9470D"/>
    <w:multiLevelType w:val="hybridMultilevel"/>
    <w:tmpl w:val="30E2C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D502D3A"/>
    <w:multiLevelType w:val="hybridMultilevel"/>
    <w:tmpl w:val="3ED6F628"/>
    <w:lvl w:ilvl="0" w:tplc="59847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7"/>
  </w:num>
  <w:num w:numId="7">
    <w:abstractNumId w:val="0"/>
  </w:num>
  <w:num w:numId="8">
    <w:abstractNumId w:val="2"/>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E3"/>
    <w:rsid w:val="00025972"/>
    <w:rsid w:val="00045DFC"/>
    <w:rsid w:val="000461D4"/>
    <w:rsid w:val="000701F2"/>
    <w:rsid w:val="00071059"/>
    <w:rsid w:val="00082101"/>
    <w:rsid w:val="000D0FEB"/>
    <w:rsid w:val="001115FF"/>
    <w:rsid w:val="0012457B"/>
    <w:rsid w:val="00156068"/>
    <w:rsid w:val="001831BF"/>
    <w:rsid w:val="001B0404"/>
    <w:rsid w:val="001B1A60"/>
    <w:rsid w:val="001C57BE"/>
    <w:rsid w:val="001D118C"/>
    <w:rsid w:val="001D4A59"/>
    <w:rsid w:val="001D6178"/>
    <w:rsid w:val="001E3D87"/>
    <w:rsid w:val="001F62B8"/>
    <w:rsid w:val="00221FD9"/>
    <w:rsid w:val="00225768"/>
    <w:rsid w:val="002616E5"/>
    <w:rsid w:val="00265D15"/>
    <w:rsid w:val="002C0E09"/>
    <w:rsid w:val="002C3655"/>
    <w:rsid w:val="002C75BF"/>
    <w:rsid w:val="002D7B5E"/>
    <w:rsid w:val="002F06AD"/>
    <w:rsid w:val="0034478F"/>
    <w:rsid w:val="003617E3"/>
    <w:rsid w:val="0037416C"/>
    <w:rsid w:val="00377D30"/>
    <w:rsid w:val="003A726B"/>
    <w:rsid w:val="003D5C85"/>
    <w:rsid w:val="003E1935"/>
    <w:rsid w:val="003F381F"/>
    <w:rsid w:val="00417E7F"/>
    <w:rsid w:val="0044088A"/>
    <w:rsid w:val="00444741"/>
    <w:rsid w:val="004735F3"/>
    <w:rsid w:val="0048211D"/>
    <w:rsid w:val="004A63C1"/>
    <w:rsid w:val="004C330E"/>
    <w:rsid w:val="004D1274"/>
    <w:rsid w:val="004D479A"/>
    <w:rsid w:val="004D4BFD"/>
    <w:rsid w:val="004E1309"/>
    <w:rsid w:val="004F73EF"/>
    <w:rsid w:val="00510335"/>
    <w:rsid w:val="00513592"/>
    <w:rsid w:val="005270E1"/>
    <w:rsid w:val="00536670"/>
    <w:rsid w:val="00546218"/>
    <w:rsid w:val="0055525B"/>
    <w:rsid w:val="00562AE2"/>
    <w:rsid w:val="00573DC1"/>
    <w:rsid w:val="00574ABA"/>
    <w:rsid w:val="0058389F"/>
    <w:rsid w:val="005B05E6"/>
    <w:rsid w:val="005D5C27"/>
    <w:rsid w:val="005E0E62"/>
    <w:rsid w:val="005F0CF8"/>
    <w:rsid w:val="00605D6B"/>
    <w:rsid w:val="006514BF"/>
    <w:rsid w:val="006550D4"/>
    <w:rsid w:val="006709A6"/>
    <w:rsid w:val="0067256B"/>
    <w:rsid w:val="006A0EF2"/>
    <w:rsid w:val="006C0FCC"/>
    <w:rsid w:val="006C5CC5"/>
    <w:rsid w:val="006C5D4A"/>
    <w:rsid w:val="006D29F4"/>
    <w:rsid w:val="006F759E"/>
    <w:rsid w:val="0071203A"/>
    <w:rsid w:val="00737C73"/>
    <w:rsid w:val="00746F82"/>
    <w:rsid w:val="00786153"/>
    <w:rsid w:val="007B1716"/>
    <w:rsid w:val="007B253A"/>
    <w:rsid w:val="007D2062"/>
    <w:rsid w:val="007D4351"/>
    <w:rsid w:val="007D515C"/>
    <w:rsid w:val="007E0514"/>
    <w:rsid w:val="007F4458"/>
    <w:rsid w:val="00800114"/>
    <w:rsid w:val="00800363"/>
    <w:rsid w:val="008113BA"/>
    <w:rsid w:val="008148B2"/>
    <w:rsid w:val="008402EA"/>
    <w:rsid w:val="00861036"/>
    <w:rsid w:val="008668F3"/>
    <w:rsid w:val="00883E22"/>
    <w:rsid w:val="00884711"/>
    <w:rsid w:val="00887CF2"/>
    <w:rsid w:val="008A1A9B"/>
    <w:rsid w:val="008D0917"/>
    <w:rsid w:val="008F3178"/>
    <w:rsid w:val="008F77AC"/>
    <w:rsid w:val="00900077"/>
    <w:rsid w:val="009106FF"/>
    <w:rsid w:val="0091508B"/>
    <w:rsid w:val="0093051D"/>
    <w:rsid w:val="00933188"/>
    <w:rsid w:val="009465EB"/>
    <w:rsid w:val="009A3351"/>
    <w:rsid w:val="009A43C6"/>
    <w:rsid w:val="009B1973"/>
    <w:rsid w:val="009B39DF"/>
    <w:rsid w:val="009B6BCD"/>
    <w:rsid w:val="009B7CE1"/>
    <w:rsid w:val="009F1C5E"/>
    <w:rsid w:val="00A13F74"/>
    <w:rsid w:val="00A26E36"/>
    <w:rsid w:val="00A27760"/>
    <w:rsid w:val="00A424A4"/>
    <w:rsid w:val="00A87B8A"/>
    <w:rsid w:val="00AB71D3"/>
    <w:rsid w:val="00AD3C1C"/>
    <w:rsid w:val="00AF5382"/>
    <w:rsid w:val="00B03423"/>
    <w:rsid w:val="00B42979"/>
    <w:rsid w:val="00B431F5"/>
    <w:rsid w:val="00B47051"/>
    <w:rsid w:val="00B5287C"/>
    <w:rsid w:val="00B63178"/>
    <w:rsid w:val="00B6593C"/>
    <w:rsid w:val="00B72C29"/>
    <w:rsid w:val="00B76548"/>
    <w:rsid w:val="00B81C7A"/>
    <w:rsid w:val="00B84928"/>
    <w:rsid w:val="00BA4592"/>
    <w:rsid w:val="00BC1E30"/>
    <w:rsid w:val="00BE3BBE"/>
    <w:rsid w:val="00C077FD"/>
    <w:rsid w:val="00C17200"/>
    <w:rsid w:val="00C2150D"/>
    <w:rsid w:val="00C2501A"/>
    <w:rsid w:val="00C278B9"/>
    <w:rsid w:val="00C441EA"/>
    <w:rsid w:val="00C47E67"/>
    <w:rsid w:val="00C61E7C"/>
    <w:rsid w:val="00C85E9A"/>
    <w:rsid w:val="00C9291D"/>
    <w:rsid w:val="00C94609"/>
    <w:rsid w:val="00CB56BC"/>
    <w:rsid w:val="00CB61C8"/>
    <w:rsid w:val="00CD59FE"/>
    <w:rsid w:val="00CD6477"/>
    <w:rsid w:val="00CE31A8"/>
    <w:rsid w:val="00CE6BA3"/>
    <w:rsid w:val="00D05718"/>
    <w:rsid w:val="00D22148"/>
    <w:rsid w:val="00D41701"/>
    <w:rsid w:val="00D51637"/>
    <w:rsid w:val="00D53CB5"/>
    <w:rsid w:val="00D565BF"/>
    <w:rsid w:val="00D63501"/>
    <w:rsid w:val="00DC2B15"/>
    <w:rsid w:val="00DC3955"/>
    <w:rsid w:val="00DD3DAC"/>
    <w:rsid w:val="00DE406C"/>
    <w:rsid w:val="00DF3865"/>
    <w:rsid w:val="00E374DF"/>
    <w:rsid w:val="00E50BA0"/>
    <w:rsid w:val="00E63CD7"/>
    <w:rsid w:val="00E85314"/>
    <w:rsid w:val="00ED6E90"/>
    <w:rsid w:val="00EE2894"/>
    <w:rsid w:val="00F17B97"/>
    <w:rsid w:val="00F263F3"/>
    <w:rsid w:val="00F330DE"/>
    <w:rsid w:val="00F438E3"/>
    <w:rsid w:val="00F561C2"/>
    <w:rsid w:val="00F6227D"/>
    <w:rsid w:val="00F82D8C"/>
    <w:rsid w:val="00F968B9"/>
    <w:rsid w:val="00F976EA"/>
    <w:rsid w:val="00FA7278"/>
    <w:rsid w:val="00FB3D4B"/>
    <w:rsid w:val="00FC65FA"/>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E81"/>
    <w:rPr>
      <w:rFonts w:ascii="Tahoma" w:hAnsi="Tahoma" w:cs="Tahoma"/>
      <w:sz w:val="16"/>
      <w:szCs w:val="16"/>
    </w:rPr>
  </w:style>
  <w:style w:type="table" w:styleId="TableGrid">
    <w:name w:val="Table Grid"/>
    <w:basedOn w:val="TableNormal"/>
    <w:uiPriority w:val="39"/>
    <w:rsid w:val="0055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25B"/>
    <w:rPr>
      <w:color w:val="0563C1" w:themeColor="hyperlink"/>
      <w:u w:val="single"/>
    </w:rPr>
  </w:style>
  <w:style w:type="paragraph" w:styleId="ListParagraph">
    <w:name w:val="List Paragraph"/>
    <w:basedOn w:val="Normal"/>
    <w:uiPriority w:val="34"/>
    <w:qFormat/>
    <w:rsid w:val="00933188"/>
    <w:pPr>
      <w:ind w:left="720"/>
      <w:contextualSpacing/>
    </w:pPr>
  </w:style>
  <w:style w:type="table" w:customStyle="1" w:styleId="TableGrid1">
    <w:name w:val="Table Grid1"/>
    <w:basedOn w:val="TableNormal"/>
    <w:next w:val="TableGrid"/>
    <w:uiPriority w:val="39"/>
    <w:rsid w:val="009F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35"/>
  </w:style>
  <w:style w:type="paragraph" w:styleId="Footer">
    <w:name w:val="footer"/>
    <w:basedOn w:val="Normal"/>
    <w:link w:val="FooterChar"/>
    <w:uiPriority w:val="99"/>
    <w:unhideWhenUsed/>
    <w:rsid w:val="0051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335"/>
  </w:style>
  <w:style w:type="character" w:styleId="CommentReference">
    <w:name w:val="annotation reference"/>
    <w:basedOn w:val="DefaultParagraphFont"/>
    <w:uiPriority w:val="99"/>
    <w:semiHidden/>
    <w:unhideWhenUsed/>
    <w:rsid w:val="006550D4"/>
    <w:rPr>
      <w:sz w:val="16"/>
      <w:szCs w:val="16"/>
    </w:rPr>
  </w:style>
  <w:style w:type="paragraph" w:styleId="CommentText">
    <w:name w:val="annotation text"/>
    <w:basedOn w:val="Normal"/>
    <w:link w:val="CommentTextChar"/>
    <w:uiPriority w:val="99"/>
    <w:semiHidden/>
    <w:unhideWhenUsed/>
    <w:rsid w:val="006550D4"/>
    <w:pPr>
      <w:spacing w:line="240" w:lineRule="auto"/>
    </w:pPr>
    <w:rPr>
      <w:sz w:val="20"/>
      <w:szCs w:val="20"/>
    </w:rPr>
  </w:style>
  <w:style w:type="character" w:customStyle="1" w:styleId="CommentTextChar">
    <w:name w:val="Comment Text Char"/>
    <w:basedOn w:val="DefaultParagraphFont"/>
    <w:link w:val="CommentText"/>
    <w:uiPriority w:val="99"/>
    <w:semiHidden/>
    <w:rsid w:val="006550D4"/>
    <w:rPr>
      <w:sz w:val="20"/>
      <w:szCs w:val="20"/>
    </w:rPr>
  </w:style>
  <w:style w:type="paragraph" w:styleId="CommentSubject">
    <w:name w:val="annotation subject"/>
    <w:basedOn w:val="CommentText"/>
    <w:next w:val="CommentText"/>
    <w:link w:val="CommentSubjectChar"/>
    <w:uiPriority w:val="99"/>
    <w:semiHidden/>
    <w:unhideWhenUsed/>
    <w:rsid w:val="006550D4"/>
    <w:rPr>
      <w:b/>
      <w:bCs/>
    </w:rPr>
  </w:style>
  <w:style w:type="character" w:customStyle="1" w:styleId="CommentSubjectChar">
    <w:name w:val="Comment Subject Char"/>
    <w:basedOn w:val="CommentTextChar"/>
    <w:link w:val="CommentSubject"/>
    <w:uiPriority w:val="99"/>
    <w:semiHidden/>
    <w:rsid w:val="006550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E81"/>
    <w:rPr>
      <w:rFonts w:ascii="Tahoma" w:hAnsi="Tahoma" w:cs="Tahoma"/>
      <w:sz w:val="16"/>
      <w:szCs w:val="16"/>
    </w:rPr>
  </w:style>
  <w:style w:type="table" w:styleId="TableGrid">
    <w:name w:val="Table Grid"/>
    <w:basedOn w:val="TableNormal"/>
    <w:uiPriority w:val="39"/>
    <w:rsid w:val="0055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25B"/>
    <w:rPr>
      <w:color w:val="0563C1" w:themeColor="hyperlink"/>
      <w:u w:val="single"/>
    </w:rPr>
  </w:style>
  <w:style w:type="paragraph" w:styleId="ListParagraph">
    <w:name w:val="List Paragraph"/>
    <w:basedOn w:val="Normal"/>
    <w:uiPriority w:val="34"/>
    <w:qFormat/>
    <w:rsid w:val="00933188"/>
    <w:pPr>
      <w:ind w:left="720"/>
      <w:contextualSpacing/>
    </w:pPr>
  </w:style>
  <w:style w:type="table" w:customStyle="1" w:styleId="TableGrid1">
    <w:name w:val="Table Grid1"/>
    <w:basedOn w:val="TableNormal"/>
    <w:next w:val="TableGrid"/>
    <w:uiPriority w:val="39"/>
    <w:rsid w:val="009F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35"/>
  </w:style>
  <w:style w:type="paragraph" w:styleId="Footer">
    <w:name w:val="footer"/>
    <w:basedOn w:val="Normal"/>
    <w:link w:val="FooterChar"/>
    <w:uiPriority w:val="99"/>
    <w:unhideWhenUsed/>
    <w:rsid w:val="0051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335"/>
  </w:style>
  <w:style w:type="character" w:styleId="CommentReference">
    <w:name w:val="annotation reference"/>
    <w:basedOn w:val="DefaultParagraphFont"/>
    <w:uiPriority w:val="99"/>
    <w:semiHidden/>
    <w:unhideWhenUsed/>
    <w:rsid w:val="006550D4"/>
    <w:rPr>
      <w:sz w:val="16"/>
      <w:szCs w:val="16"/>
    </w:rPr>
  </w:style>
  <w:style w:type="paragraph" w:styleId="CommentText">
    <w:name w:val="annotation text"/>
    <w:basedOn w:val="Normal"/>
    <w:link w:val="CommentTextChar"/>
    <w:uiPriority w:val="99"/>
    <w:semiHidden/>
    <w:unhideWhenUsed/>
    <w:rsid w:val="006550D4"/>
    <w:pPr>
      <w:spacing w:line="240" w:lineRule="auto"/>
    </w:pPr>
    <w:rPr>
      <w:sz w:val="20"/>
      <w:szCs w:val="20"/>
    </w:rPr>
  </w:style>
  <w:style w:type="character" w:customStyle="1" w:styleId="CommentTextChar">
    <w:name w:val="Comment Text Char"/>
    <w:basedOn w:val="DefaultParagraphFont"/>
    <w:link w:val="CommentText"/>
    <w:uiPriority w:val="99"/>
    <w:semiHidden/>
    <w:rsid w:val="006550D4"/>
    <w:rPr>
      <w:sz w:val="20"/>
      <w:szCs w:val="20"/>
    </w:rPr>
  </w:style>
  <w:style w:type="paragraph" w:styleId="CommentSubject">
    <w:name w:val="annotation subject"/>
    <w:basedOn w:val="CommentText"/>
    <w:next w:val="CommentText"/>
    <w:link w:val="CommentSubjectChar"/>
    <w:uiPriority w:val="99"/>
    <w:semiHidden/>
    <w:unhideWhenUsed/>
    <w:rsid w:val="006550D4"/>
    <w:rPr>
      <w:b/>
      <w:bCs/>
    </w:rPr>
  </w:style>
  <w:style w:type="character" w:customStyle="1" w:styleId="CommentSubjectChar">
    <w:name w:val="Comment Subject Char"/>
    <w:basedOn w:val="CommentTextChar"/>
    <w:link w:val="CommentSubject"/>
    <w:uiPriority w:val="99"/>
    <w:semiHidden/>
    <w:rsid w:val="00655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3520">
      <w:bodyDiv w:val="1"/>
      <w:marLeft w:val="0"/>
      <w:marRight w:val="0"/>
      <w:marTop w:val="0"/>
      <w:marBottom w:val="0"/>
      <w:divBdr>
        <w:top w:val="none" w:sz="0" w:space="0" w:color="auto"/>
        <w:left w:val="none" w:sz="0" w:space="0" w:color="auto"/>
        <w:bottom w:val="none" w:sz="0" w:space="0" w:color="auto"/>
        <w:right w:val="none" w:sz="0" w:space="0" w:color="auto"/>
      </w:divBdr>
    </w:div>
    <w:div w:id="37659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www.udel.edu/IR/cost/index.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CFB8-3F37-463F-8832-1502B91A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6061</Words>
  <Characters>34550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Teeter</dc:creator>
  <cp:lastModifiedBy>      Larry Teeter</cp:lastModifiedBy>
  <cp:revision>6</cp:revision>
  <cp:lastPrinted>2015-03-30T16:12:00Z</cp:lastPrinted>
  <dcterms:created xsi:type="dcterms:W3CDTF">2015-03-30T16:05:00Z</dcterms:created>
  <dcterms:modified xsi:type="dcterms:W3CDTF">2015-03-30T17:19:00Z</dcterms:modified>
</cp:coreProperties>
</file>